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E25" w:rsidRPr="00250224" w:rsidRDefault="00F77E25" w:rsidP="00763782">
      <w:pPr>
        <w:rPr>
          <w:sz w:val="20"/>
        </w:rPr>
      </w:pPr>
    </w:p>
    <w:p w:rsidR="007B4FD3" w:rsidRPr="007018B7" w:rsidRDefault="007B4FD3" w:rsidP="0024192F">
      <w:pPr>
        <w:jc w:val="center"/>
        <w:rPr>
          <w:b/>
          <w:szCs w:val="24"/>
        </w:rPr>
      </w:pPr>
      <w:r w:rsidRPr="007018B7">
        <w:rPr>
          <w:b/>
          <w:szCs w:val="24"/>
        </w:rPr>
        <w:t>Special Category Historic Preservation Grants</w:t>
      </w:r>
    </w:p>
    <w:p w:rsidR="00D93AE6" w:rsidRPr="007018B7" w:rsidRDefault="007B4FD3" w:rsidP="0024192F">
      <w:pPr>
        <w:jc w:val="center"/>
        <w:rPr>
          <w:b/>
          <w:szCs w:val="24"/>
        </w:rPr>
      </w:pPr>
      <w:r w:rsidRPr="007018B7">
        <w:rPr>
          <w:b/>
          <w:szCs w:val="24"/>
        </w:rPr>
        <w:t xml:space="preserve">Formal </w:t>
      </w:r>
      <w:r w:rsidR="00AD6726" w:rsidRPr="007018B7">
        <w:rPr>
          <w:b/>
          <w:szCs w:val="24"/>
        </w:rPr>
        <w:t>Solicitation</w:t>
      </w:r>
      <w:r w:rsidR="00374DF1" w:rsidRPr="007018B7">
        <w:rPr>
          <w:b/>
          <w:szCs w:val="24"/>
        </w:rPr>
        <w:t xml:space="preserve"> for</w:t>
      </w:r>
      <w:r w:rsidRPr="007018B7">
        <w:rPr>
          <w:b/>
          <w:szCs w:val="24"/>
        </w:rPr>
        <w:t xml:space="preserve"> Applications</w:t>
      </w:r>
    </w:p>
    <w:p w:rsidR="001A66F1" w:rsidRPr="007018B7" w:rsidRDefault="00C905A1" w:rsidP="0024192F">
      <w:pPr>
        <w:jc w:val="center"/>
        <w:rPr>
          <w:b/>
          <w:szCs w:val="24"/>
        </w:rPr>
      </w:pPr>
      <w:r w:rsidRPr="007018B7">
        <w:rPr>
          <w:b/>
          <w:szCs w:val="24"/>
        </w:rPr>
        <w:t>May 15</w:t>
      </w:r>
      <w:r w:rsidR="002D2B91" w:rsidRPr="007018B7">
        <w:rPr>
          <w:b/>
          <w:szCs w:val="24"/>
        </w:rPr>
        <w:t>, 2017</w:t>
      </w:r>
      <w:r w:rsidR="006F3C9C" w:rsidRPr="007018B7">
        <w:rPr>
          <w:b/>
          <w:szCs w:val="24"/>
        </w:rPr>
        <w:t xml:space="preserve"> – </w:t>
      </w:r>
      <w:r w:rsidRPr="007018B7">
        <w:rPr>
          <w:b/>
          <w:szCs w:val="24"/>
        </w:rPr>
        <w:t>June 15</w:t>
      </w:r>
      <w:r w:rsidR="002D2B91" w:rsidRPr="007018B7">
        <w:rPr>
          <w:b/>
          <w:szCs w:val="24"/>
        </w:rPr>
        <w:t>, 2017</w:t>
      </w:r>
    </w:p>
    <w:p w:rsidR="007B4FD3" w:rsidRPr="007018B7" w:rsidRDefault="00801AF0" w:rsidP="0024192F">
      <w:pPr>
        <w:jc w:val="center"/>
        <w:rPr>
          <w:b/>
          <w:szCs w:val="24"/>
        </w:rPr>
      </w:pPr>
      <w:r w:rsidRPr="007018B7">
        <w:rPr>
          <w:b/>
          <w:szCs w:val="24"/>
        </w:rPr>
        <w:t>f</w:t>
      </w:r>
      <w:r w:rsidR="002D2B91" w:rsidRPr="007018B7">
        <w:rPr>
          <w:b/>
          <w:szCs w:val="24"/>
        </w:rPr>
        <w:t>or Fiscal Year 2018-</w:t>
      </w:r>
      <w:r w:rsidR="00C729D7">
        <w:rPr>
          <w:b/>
          <w:szCs w:val="24"/>
        </w:rPr>
        <w:t>2019</w:t>
      </w:r>
    </w:p>
    <w:p w:rsidR="001A66F1" w:rsidRPr="00250224" w:rsidRDefault="001A66F1" w:rsidP="0024192F">
      <w:pPr>
        <w:jc w:val="center"/>
        <w:rPr>
          <w:sz w:val="20"/>
        </w:rPr>
      </w:pPr>
    </w:p>
    <w:p w:rsidR="00F77E25" w:rsidRPr="00250224" w:rsidRDefault="00F77E25" w:rsidP="00763782">
      <w:pPr>
        <w:rPr>
          <w:sz w:val="20"/>
        </w:rPr>
      </w:pPr>
    </w:p>
    <w:p w:rsidR="007B4FD3" w:rsidRPr="007018B7" w:rsidRDefault="007B4FD3" w:rsidP="00763782">
      <w:pPr>
        <w:rPr>
          <w:sz w:val="20"/>
        </w:rPr>
      </w:pPr>
      <w:r w:rsidRPr="007B4FD3">
        <w:rPr>
          <w:sz w:val="20"/>
        </w:rPr>
        <w:t xml:space="preserve">The Florida Department of State is currently soliciting applications for </w:t>
      </w:r>
      <w:r>
        <w:rPr>
          <w:sz w:val="20"/>
        </w:rPr>
        <w:t xml:space="preserve">Special Category </w:t>
      </w:r>
      <w:r w:rsidRPr="007B4FD3">
        <w:rPr>
          <w:sz w:val="20"/>
        </w:rPr>
        <w:t xml:space="preserve">Grant-in-Aid assistance for historic preservation projects. Applications will be accepted </w:t>
      </w:r>
      <w:r w:rsidRPr="007B4FD3">
        <w:rPr>
          <w:b/>
          <w:bCs/>
          <w:sz w:val="20"/>
        </w:rPr>
        <w:t xml:space="preserve">online </w:t>
      </w:r>
      <w:r w:rsidRPr="007B4FD3">
        <w:rPr>
          <w:sz w:val="20"/>
        </w:rPr>
        <w:t xml:space="preserve">at </w:t>
      </w:r>
      <w:hyperlink r:id="rId7" w:history="1">
        <w:r w:rsidR="002D2B91">
          <w:rPr>
            <w:rStyle w:val="Hyperlink"/>
            <w:sz w:val="20"/>
          </w:rPr>
          <w:t>dosgrants.com</w:t>
        </w:r>
      </w:hyperlink>
      <w:r w:rsidR="002D2B91">
        <w:rPr>
          <w:sz w:val="20"/>
        </w:rPr>
        <w:t xml:space="preserve">. </w:t>
      </w:r>
      <w:r w:rsidR="002D2B91" w:rsidRPr="007018B7">
        <w:rPr>
          <w:sz w:val="20"/>
        </w:rPr>
        <w:t xml:space="preserve">The application submission period </w:t>
      </w:r>
      <w:r w:rsidR="002D2B91" w:rsidRPr="00F7405F">
        <w:rPr>
          <w:b/>
          <w:sz w:val="20"/>
        </w:rPr>
        <w:t xml:space="preserve">will open </w:t>
      </w:r>
      <w:r w:rsidR="00C905A1" w:rsidRPr="00F7405F">
        <w:rPr>
          <w:b/>
          <w:sz w:val="20"/>
        </w:rPr>
        <w:t>May 15</w:t>
      </w:r>
      <w:r w:rsidRPr="00F7405F">
        <w:rPr>
          <w:b/>
          <w:sz w:val="20"/>
        </w:rPr>
        <w:t>,</w:t>
      </w:r>
      <w:r w:rsidR="002D2B91" w:rsidRPr="00F7405F">
        <w:rPr>
          <w:b/>
          <w:sz w:val="20"/>
        </w:rPr>
        <w:t xml:space="preserve"> 2017</w:t>
      </w:r>
      <w:r w:rsidR="00C729D7" w:rsidRPr="00F7405F">
        <w:rPr>
          <w:b/>
          <w:sz w:val="20"/>
        </w:rPr>
        <w:t>,</w:t>
      </w:r>
      <w:r w:rsidR="002D2B91" w:rsidRPr="00F7405F">
        <w:rPr>
          <w:b/>
          <w:sz w:val="20"/>
        </w:rPr>
        <w:t xml:space="preserve"> </w:t>
      </w:r>
      <w:r w:rsidRPr="00F7405F">
        <w:rPr>
          <w:b/>
          <w:sz w:val="20"/>
        </w:rPr>
        <w:t xml:space="preserve">and </w:t>
      </w:r>
      <w:r w:rsidR="002D2B91" w:rsidRPr="00F7405F">
        <w:rPr>
          <w:b/>
          <w:sz w:val="20"/>
        </w:rPr>
        <w:t>end at 5:00</w:t>
      </w:r>
      <w:r w:rsidR="00C905A1" w:rsidRPr="00F7405F">
        <w:rPr>
          <w:b/>
          <w:sz w:val="20"/>
        </w:rPr>
        <w:t xml:space="preserve"> p.m. on June 15</w:t>
      </w:r>
      <w:r w:rsidRPr="00F7405F">
        <w:rPr>
          <w:b/>
          <w:sz w:val="20"/>
        </w:rPr>
        <w:t>, 201</w:t>
      </w:r>
      <w:r w:rsidR="002D2B91" w:rsidRPr="00F7405F">
        <w:rPr>
          <w:b/>
          <w:sz w:val="20"/>
        </w:rPr>
        <w:t>7</w:t>
      </w:r>
      <w:r w:rsidRPr="007018B7">
        <w:rPr>
          <w:sz w:val="20"/>
        </w:rPr>
        <w:t>. Application</w:t>
      </w:r>
      <w:r w:rsidR="002D2B91" w:rsidRPr="007018B7">
        <w:rPr>
          <w:sz w:val="20"/>
        </w:rPr>
        <w:t>s will only be accepted electronically and must be complete to be considered</w:t>
      </w:r>
      <w:r w:rsidR="00C905A1" w:rsidRPr="007018B7">
        <w:rPr>
          <w:sz w:val="20"/>
        </w:rPr>
        <w:t xml:space="preserve"> for evaluation</w:t>
      </w:r>
      <w:r w:rsidRPr="007018B7">
        <w:rPr>
          <w:sz w:val="20"/>
        </w:rPr>
        <w:t xml:space="preserve">. </w:t>
      </w:r>
    </w:p>
    <w:p w:rsidR="00D72FAF" w:rsidRPr="007018B7" w:rsidRDefault="00D72FAF" w:rsidP="00763782">
      <w:pPr>
        <w:rPr>
          <w:sz w:val="20"/>
        </w:rPr>
      </w:pPr>
    </w:p>
    <w:p w:rsidR="003F3A77" w:rsidRPr="007018B7" w:rsidRDefault="003F3A77" w:rsidP="00763782">
      <w:pPr>
        <w:rPr>
          <w:b/>
          <w:sz w:val="20"/>
          <w:u w:val="single"/>
        </w:rPr>
      </w:pPr>
      <w:r w:rsidRPr="007018B7">
        <w:rPr>
          <w:b/>
          <w:sz w:val="20"/>
          <w:u w:val="single"/>
        </w:rPr>
        <w:t>SPECIAL CATEGORY GRANTS PROGRAM</w:t>
      </w:r>
    </w:p>
    <w:p w:rsidR="00D72FAF" w:rsidRPr="007018B7" w:rsidRDefault="00D72FAF" w:rsidP="00763782">
      <w:pPr>
        <w:overflowPunct w:val="0"/>
        <w:autoSpaceDE w:val="0"/>
        <w:autoSpaceDN w:val="0"/>
        <w:adjustRightInd w:val="0"/>
        <w:textAlignment w:val="baseline"/>
        <w:rPr>
          <w:noProof/>
          <w:sz w:val="20"/>
        </w:rPr>
      </w:pPr>
      <w:r w:rsidRPr="007018B7">
        <w:rPr>
          <w:noProof/>
          <w:sz w:val="20"/>
        </w:rPr>
        <w:t xml:space="preserve">The purpose of </w:t>
      </w:r>
      <w:r w:rsidR="00763782" w:rsidRPr="007018B7">
        <w:rPr>
          <w:noProof/>
          <w:sz w:val="20"/>
        </w:rPr>
        <w:t>the Special Category G</w:t>
      </w:r>
      <w:r w:rsidRPr="007018B7">
        <w:rPr>
          <w:noProof/>
          <w:sz w:val="20"/>
        </w:rPr>
        <w:t>rants</w:t>
      </w:r>
      <w:r w:rsidR="00763782" w:rsidRPr="007018B7">
        <w:rPr>
          <w:noProof/>
          <w:sz w:val="20"/>
        </w:rPr>
        <w:t xml:space="preserve"> P</w:t>
      </w:r>
      <w:r w:rsidRPr="007018B7">
        <w:rPr>
          <w:noProof/>
          <w:sz w:val="20"/>
        </w:rPr>
        <w:t>rogram is to provide funding to assist major local, regional</w:t>
      </w:r>
      <w:r w:rsidR="007B4FD3" w:rsidRPr="007018B7">
        <w:rPr>
          <w:noProof/>
          <w:sz w:val="20"/>
        </w:rPr>
        <w:t>,</w:t>
      </w:r>
      <w:r w:rsidRPr="007018B7">
        <w:rPr>
          <w:noProof/>
          <w:sz w:val="20"/>
        </w:rPr>
        <w:t xml:space="preserve"> and state-wide efforts to preserve significant historic structures and archaeological sites, to assist major archaeological excavations</w:t>
      </w:r>
      <w:r w:rsidR="00C729D7">
        <w:rPr>
          <w:noProof/>
          <w:sz w:val="20"/>
        </w:rPr>
        <w:t xml:space="preserve"> and collection research</w:t>
      </w:r>
      <w:r w:rsidR="0099695B" w:rsidRPr="007018B7">
        <w:rPr>
          <w:noProof/>
          <w:sz w:val="20"/>
        </w:rPr>
        <w:t xml:space="preserve">, and assist in the development, </w:t>
      </w:r>
      <w:r w:rsidRPr="007018B7">
        <w:rPr>
          <w:noProof/>
          <w:sz w:val="20"/>
        </w:rPr>
        <w:t>fabrication</w:t>
      </w:r>
      <w:r w:rsidR="0099695B" w:rsidRPr="007018B7">
        <w:rPr>
          <w:noProof/>
          <w:sz w:val="20"/>
        </w:rPr>
        <w:t xml:space="preserve"> and installation</w:t>
      </w:r>
      <w:r w:rsidRPr="007018B7">
        <w:rPr>
          <w:noProof/>
          <w:sz w:val="20"/>
        </w:rPr>
        <w:t xml:space="preserve"> of major museum exhibits that will promote knowledge and appreciation of the history of Florida. For the purpose of this program, the term "major" means projects with grant funding needs in excess of $50,000. This program does not fund operational suppo</w:t>
      </w:r>
      <w:smartTag w:uri="urn:schemas-microsoft-com:office:smarttags" w:element="PersonName">
        <w:r w:rsidRPr="007018B7">
          <w:rPr>
            <w:noProof/>
            <w:sz w:val="20"/>
          </w:rPr>
          <w:t>rt</w:t>
        </w:r>
      </w:smartTag>
      <w:r w:rsidRPr="007018B7">
        <w:rPr>
          <w:noProof/>
          <w:sz w:val="20"/>
        </w:rPr>
        <w:t xml:space="preserve"> for</w:t>
      </w:r>
      <w:r w:rsidR="00FF77AE" w:rsidRPr="007018B7">
        <w:rPr>
          <w:noProof/>
          <w:sz w:val="20"/>
        </w:rPr>
        <w:t xml:space="preserve"> museums or</w:t>
      </w:r>
      <w:r w:rsidRPr="007018B7">
        <w:rPr>
          <w:noProof/>
          <w:sz w:val="20"/>
        </w:rPr>
        <w:t xml:space="preserve"> historic preservation organizations.</w:t>
      </w:r>
    </w:p>
    <w:p w:rsidR="003F3A77" w:rsidRPr="007018B7" w:rsidRDefault="003F3A77" w:rsidP="00763782">
      <w:pPr>
        <w:tabs>
          <w:tab w:val="left" w:pos="90"/>
        </w:tabs>
        <w:rPr>
          <w:sz w:val="20"/>
        </w:rPr>
      </w:pPr>
    </w:p>
    <w:p w:rsidR="00F77E25" w:rsidRPr="007018B7" w:rsidRDefault="00F77E25" w:rsidP="00763782">
      <w:pPr>
        <w:rPr>
          <w:sz w:val="20"/>
        </w:rPr>
      </w:pPr>
      <w:r w:rsidRPr="007018B7">
        <w:rPr>
          <w:b/>
          <w:sz w:val="20"/>
          <w:u w:val="single"/>
        </w:rPr>
        <w:t>FUNDS AVAILABLE</w:t>
      </w:r>
    </w:p>
    <w:p w:rsidR="00F77E25" w:rsidRPr="007018B7" w:rsidRDefault="00F77E25" w:rsidP="00763782">
      <w:pPr>
        <w:rPr>
          <w:sz w:val="20"/>
        </w:rPr>
      </w:pPr>
      <w:r w:rsidRPr="007018B7">
        <w:rPr>
          <w:sz w:val="20"/>
        </w:rPr>
        <w:t>Funding</w:t>
      </w:r>
      <w:r w:rsidR="008D0A92" w:rsidRPr="007018B7">
        <w:rPr>
          <w:sz w:val="20"/>
        </w:rPr>
        <w:t xml:space="preserve"> availability will depend upon legislative appropriation</w:t>
      </w:r>
      <w:r w:rsidR="00E97217" w:rsidRPr="007018B7">
        <w:rPr>
          <w:sz w:val="20"/>
        </w:rPr>
        <w:t xml:space="preserve"> during the 20</w:t>
      </w:r>
      <w:r w:rsidR="004C5852" w:rsidRPr="007018B7">
        <w:rPr>
          <w:sz w:val="20"/>
        </w:rPr>
        <w:t>1</w:t>
      </w:r>
      <w:r w:rsidR="002D2B91" w:rsidRPr="007018B7">
        <w:rPr>
          <w:sz w:val="20"/>
        </w:rPr>
        <w:t>8</w:t>
      </w:r>
      <w:r w:rsidRPr="007018B7">
        <w:rPr>
          <w:sz w:val="20"/>
        </w:rPr>
        <w:t xml:space="preserve"> Legislative Session.  Recommended grant awards will range from </w:t>
      </w:r>
      <w:r w:rsidR="008E6E56" w:rsidRPr="007018B7">
        <w:rPr>
          <w:sz w:val="20"/>
        </w:rPr>
        <w:t>$50,000 to $50</w:t>
      </w:r>
      <w:r w:rsidR="006F3C9C" w:rsidRPr="007018B7">
        <w:rPr>
          <w:sz w:val="20"/>
        </w:rPr>
        <w:t>0,000</w:t>
      </w:r>
      <w:r w:rsidRPr="007018B7">
        <w:rPr>
          <w:sz w:val="20"/>
        </w:rPr>
        <w:t>.</w:t>
      </w:r>
    </w:p>
    <w:p w:rsidR="00F77E25" w:rsidRPr="007018B7" w:rsidRDefault="00F77E25" w:rsidP="00763782">
      <w:pPr>
        <w:rPr>
          <w:sz w:val="20"/>
        </w:rPr>
      </w:pPr>
    </w:p>
    <w:p w:rsidR="00F77E25" w:rsidRPr="007018B7" w:rsidRDefault="00F77E25" w:rsidP="00763782">
      <w:pPr>
        <w:rPr>
          <w:b/>
          <w:sz w:val="20"/>
          <w:u w:val="single"/>
        </w:rPr>
      </w:pPr>
      <w:r w:rsidRPr="007018B7">
        <w:rPr>
          <w:b/>
          <w:sz w:val="20"/>
          <w:u w:val="single"/>
        </w:rPr>
        <w:t>WHO IS ELIGIBLE TO APPLY</w:t>
      </w:r>
    </w:p>
    <w:p w:rsidR="00F77E25" w:rsidRPr="007018B7" w:rsidRDefault="00F77E25" w:rsidP="00763782">
      <w:pPr>
        <w:rPr>
          <w:sz w:val="20"/>
        </w:rPr>
      </w:pPr>
      <w:r w:rsidRPr="007018B7">
        <w:rPr>
          <w:sz w:val="20"/>
        </w:rPr>
        <w:t>Eligible applicants include</w:t>
      </w:r>
      <w:r w:rsidR="00D72FAF" w:rsidRPr="007018B7">
        <w:rPr>
          <w:sz w:val="20"/>
        </w:rPr>
        <w:t xml:space="preserve"> d</w:t>
      </w:r>
      <w:r w:rsidRPr="007018B7">
        <w:rPr>
          <w:sz w:val="20"/>
        </w:rPr>
        <w:t xml:space="preserve">epartments or agencies of the </w:t>
      </w:r>
      <w:r w:rsidR="008D0A92" w:rsidRPr="007018B7">
        <w:rPr>
          <w:sz w:val="20"/>
        </w:rPr>
        <w:t>State of Florida</w:t>
      </w:r>
      <w:r w:rsidRPr="007018B7">
        <w:rPr>
          <w:sz w:val="20"/>
        </w:rPr>
        <w:t xml:space="preserve"> (including state universities);</w:t>
      </w:r>
      <w:r w:rsidR="00D72FAF" w:rsidRPr="007018B7">
        <w:rPr>
          <w:sz w:val="20"/>
        </w:rPr>
        <w:t xml:space="preserve"> u</w:t>
      </w:r>
      <w:r w:rsidRPr="007018B7">
        <w:rPr>
          <w:sz w:val="20"/>
        </w:rPr>
        <w:t>nits of county, munici</w:t>
      </w:r>
      <w:r w:rsidR="00DB4EE1" w:rsidRPr="007018B7">
        <w:rPr>
          <w:sz w:val="20"/>
        </w:rPr>
        <w:t xml:space="preserve">pal or other local governments; or </w:t>
      </w:r>
      <w:r w:rsidR="00D72FAF" w:rsidRPr="007018B7">
        <w:rPr>
          <w:sz w:val="20"/>
        </w:rPr>
        <w:t>a</w:t>
      </w:r>
      <w:r w:rsidRPr="007018B7">
        <w:rPr>
          <w:sz w:val="20"/>
        </w:rPr>
        <w:t>ny Florida not-for-profit corporation, institut</w:t>
      </w:r>
      <w:r w:rsidR="006F3C9C" w:rsidRPr="007018B7">
        <w:rPr>
          <w:sz w:val="20"/>
        </w:rPr>
        <w:t>ion, or organization.</w:t>
      </w:r>
    </w:p>
    <w:p w:rsidR="004C5852" w:rsidRPr="007018B7" w:rsidRDefault="004C5852" w:rsidP="00763782">
      <w:pPr>
        <w:rPr>
          <w:sz w:val="20"/>
        </w:rPr>
      </w:pPr>
    </w:p>
    <w:p w:rsidR="00B12E29" w:rsidRDefault="00C905A1" w:rsidP="00763782">
      <w:pPr>
        <w:rPr>
          <w:sz w:val="20"/>
        </w:rPr>
      </w:pPr>
      <w:r w:rsidRPr="007018B7">
        <w:rPr>
          <w:sz w:val="20"/>
        </w:rPr>
        <w:t xml:space="preserve">Non-secular </w:t>
      </w:r>
      <w:r w:rsidR="00F77E25" w:rsidRPr="007018B7">
        <w:rPr>
          <w:sz w:val="20"/>
        </w:rPr>
        <w:t>organizations are eligible to apply for gran</w:t>
      </w:r>
      <w:r w:rsidR="0017609B" w:rsidRPr="007018B7">
        <w:rPr>
          <w:sz w:val="20"/>
        </w:rPr>
        <w:t>t-in-aid assistance</w:t>
      </w:r>
      <w:r w:rsidRPr="007018B7">
        <w:rPr>
          <w:sz w:val="20"/>
        </w:rPr>
        <w:t xml:space="preserve"> for work on religious properties</w:t>
      </w:r>
      <w:r w:rsidR="0017609B" w:rsidRPr="007018B7">
        <w:rPr>
          <w:sz w:val="20"/>
        </w:rPr>
        <w:t xml:space="preserve">. </w:t>
      </w:r>
      <w:r w:rsidR="00F77E25" w:rsidRPr="007018B7">
        <w:rPr>
          <w:sz w:val="20"/>
        </w:rPr>
        <w:t xml:space="preserve">However, eligible development activities involving </w:t>
      </w:r>
      <w:r w:rsidR="0080477A" w:rsidRPr="007018B7">
        <w:rPr>
          <w:sz w:val="20"/>
        </w:rPr>
        <w:t>religious</w:t>
      </w:r>
      <w:r w:rsidR="00F77E25" w:rsidRPr="007018B7">
        <w:rPr>
          <w:sz w:val="20"/>
        </w:rPr>
        <w:t xml:space="preserve"> </w:t>
      </w:r>
      <w:r w:rsidR="00EB0EC1" w:rsidRPr="007018B7">
        <w:rPr>
          <w:sz w:val="20"/>
        </w:rPr>
        <w:t>properties</w:t>
      </w:r>
      <w:r w:rsidR="00F77E25" w:rsidRPr="007018B7">
        <w:rPr>
          <w:sz w:val="20"/>
        </w:rPr>
        <w:t xml:space="preserve"> are limited</w:t>
      </w:r>
      <w:r w:rsidR="008D0A92" w:rsidRPr="007018B7">
        <w:rPr>
          <w:sz w:val="20"/>
        </w:rPr>
        <w:t xml:space="preserve"> to work </w:t>
      </w:r>
      <w:r w:rsidR="00B363C3" w:rsidRPr="007018B7">
        <w:rPr>
          <w:sz w:val="20"/>
        </w:rPr>
        <w:t>on</w:t>
      </w:r>
      <w:r w:rsidR="00F77E25" w:rsidRPr="007018B7">
        <w:rPr>
          <w:sz w:val="20"/>
        </w:rPr>
        <w:t xml:space="preserve"> </w:t>
      </w:r>
      <w:r w:rsidR="008D0A92" w:rsidRPr="007018B7">
        <w:rPr>
          <w:sz w:val="20"/>
        </w:rPr>
        <w:t xml:space="preserve">the </w:t>
      </w:r>
      <w:r w:rsidR="00F77E25" w:rsidRPr="007018B7">
        <w:rPr>
          <w:sz w:val="20"/>
        </w:rPr>
        <w:t xml:space="preserve">exterior </w:t>
      </w:r>
      <w:r w:rsidR="008D0A92" w:rsidRPr="007018B7">
        <w:rPr>
          <w:sz w:val="20"/>
        </w:rPr>
        <w:t xml:space="preserve">of the </w:t>
      </w:r>
      <w:r w:rsidR="00EB0EC1" w:rsidRPr="007018B7">
        <w:rPr>
          <w:sz w:val="20"/>
        </w:rPr>
        <w:t>property</w:t>
      </w:r>
      <w:r w:rsidR="00F77E25" w:rsidRPr="007018B7">
        <w:rPr>
          <w:sz w:val="20"/>
        </w:rPr>
        <w:t xml:space="preserve"> and only</w:t>
      </w:r>
      <w:r w:rsidR="0080477A" w:rsidRPr="007018B7">
        <w:rPr>
          <w:sz w:val="20"/>
        </w:rPr>
        <w:t xml:space="preserve"> to</w:t>
      </w:r>
      <w:r w:rsidR="00F77E25" w:rsidRPr="007018B7">
        <w:rPr>
          <w:sz w:val="20"/>
        </w:rPr>
        <w:t xml:space="preserve"> those interior activities</w:t>
      </w:r>
      <w:r w:rsidR="008D0A92" w:rsidRPr="007018B7">
        <w:rPr>
          <w:sz w:val="20"/>
        </w:rPr>
        <w:t xml:space="preserve"> that</w:t>
      </w:r>
      <w:r w:rsidR="00F77E25" w:rsidRPr="007018B7">
        <w:rPr>
          <w:sz w:val="20"/>
        </w:rPr>
        <w:t xml:space="preserve"> are essential to the preservation of the struct</w:t>
      </w:r>
      <w:r w:rsidR="008D0A92" w:rsidRPr="007018B7">
        <w:rPr>
          <w:sz w:val="20"/>
        </w:rPr>
        <w:t xml:space="preserve">ural integrity </w:t>
      </w:r>
      <w:r w:rsidR="008D0A92" w:rsidRPr="00250224">
        <w:rPr>
          <w:sz w:val="20"/>
        </w:rPr>
        <w:t xml:space="preserve">of the </w:t>
      </w:r>
      <w:r w:rsidR="00EB0EC1">
        <w:rPr>
          <w:sz w:val="20"/>
        </w:rPr>
        <w:t>property</w:t>
      </w:r>
      <w:r w:rsidR="00F77E25" w:rsidRPr="00250224">
        <w:rPr>
          <w:sz w:val="20"/>
        </w:rPr>
        <w:t>.</w:t>
      </w:r>
      <w:r w:rsidR="00B12E29">
        <w:rPr>
          <w:sz w:val="20"/>
        </w:rPr>
        <w:t xml:space="preserve">  </w:t>
      </w:r>
      <w:r w:rsidR="00734371">
        <w:rPr>
          <w:sz w:val="20"/>
        </w:rPr>
        <w:t>For clarification, “r</w:t>
      </w:r>
      <w:r w:rsidR="0080477A">
        <w:rPr>
          <w:sz w:val="20"/>
        </w:rPr>
        <w:t>eligious properties</w:t>
      </w:r>
      <w:r w:rsidR="00734371">
        <w:rPr>
          <w:sz w:val="20"/>
        </w:rPr>
        <w:t>”</w:t>
      </w:r>
      <w:r w:rsidR="0080477A">
        <w:rPr>
          <w:sz w:val="20"/>
        </w:rPr>
        <w:t xml:space="preserve"> include any real property and associated improvements owned by a religious institution such as churches, schools, meeting halls and parish houses and any real property, regardless of ownership, that is used as a place of worship.</w:t>
      </w:r>
      <w:r w:rsidR="00F77E25" w:rsidRPr="00250224">
        <w:rPr>
          <w:sz w:val="20"/>
        </w:rPr>
        <w:t xml:space="preserve"> </w:t>
      </w:r>
    </w:p>
    <w:p w:rsidR="00B12E29" w:rsidRDefault="00B12E29" w:rsidP="00763782">
      <w:pPr>
        <w:rPr>
          <w:sz w:val="20"/>
        </w:rPr>
      </w:pPr>
    </w:p>
    <w:p w:rsidR="00B12E29" w:rsidRPr="007018B7" w:rsidRDefault="00B12E29" w:rsidP="00763782">
      <w:pPr>
        <w:rPr>
          <w:sz w:val="20"/>
        </w:rPr>
      </w:pPr>
      <w:r w:rsidRPr="00B12E29">
        <w:rPr>
          <w:sz w:val="20"/>
        </w:rPr>
        <w:t xml:space="preserve">For historical museum projects, applicants must be a governmental or non-profit Florida history museum.  A Florida history museum is an institution established permanently in Florida, promoting and encouraging knowledge and appreciation of </w:t>
      </w:r>
      <w:r w:rsidRPr="007018B7">
        <w:rPr>
          <w:sz w:val="20"/>
        </w:rPr>
        <w:t>Florida history through the collection, presentation, exhibition, and interpretation of artifacts and other historical items related to Florida history.  The mission of the museum must relate directly to the history of Florida.</w:t>
      </w:r>
    </w:p>
    <w:p w:rsidR="00F77E25" w:rsidRPr="007018B7" w:rsidRDefault="00F77E25" w:rsidP="00763782">
      <w:pPr>
        <w:rPr>
          <w:sz w:val="20"/>
        </w:rPr>
      </w:pPr>
      <w:r w:rsidRPr="007018B7">
        <w:rPr>
          <w:sz w:val="20"/>
        </w:rPr>
        <w:t xml:space="preserve"> </w:t>
      </w:r>
    </w:p>
    <w:p w:rsidR="00F77E25" w:rsidRPr="007018B7" w:rsidRDefault="00F77E25" w:rsidP="00763782">
      <w:pPr>
        <w:rPr>
          <w:sz w:val="20"/>
        </w:rPr>
      </w:pPr>
      <w:r w:rsidRPr="007018B7">
        <w:rPr>
          <w:b/>
          <w:sz w:val="20"/>
          <w:u w:val="single"/>
        </w:rPr>
        <w:t>PROJECT</w:t>
      </w:r>
      <w:r w:rsidR="00C905A1" w:rsidRPr="007018B7">
        <w:rPr>
          <w:b/>
          <w:sz w:val="20"/>
          <w:u w:val="single"/>
        </w:rPr>
        <w:t xml:space="preserve"> TYPE</w:t>
      </w:r>
      <w:r w:rsidRPr="007018B7">
        <w:rPr>
          <w:b/>
          <w:sz w:val="20"/>
          <w:u w:val="single"/>
        </w:rPr>
        <w:t>S ELIGIBLE FOR FUNDING</w:t>
      </w:r>
    </w:p>
    <w:p w:rsidR="003F3A77" w:rsidRPr="007018B7" w:rsidRDefault="003F3A77" w:rsidP="00DB4EE1">
      <w:pPr>
        <w:ind w:left="540" w:hanging="180"/>
        <w:rPr>
          <w:sz w:val="20"/>
        </w:rPr>
      </w:pPr>
      <w:r w:rsidRPr="007018B7">
        <w:rPr>
          <w:sz w:val="20"/>
        </w:rPr>
        <w:t xml:space="preserve">1. </w:t>
      </w:r>
      <w:r w:rsidRPr="00C729D7">
        <w:rPr>
          <w:b/>
          <w:sz w:val="20"/>
        </w:rPr>
        <w:t xml:space="preserve">Acquisition </w:t>
      </w:r>
      <w:r w:rsidRPr="007018B7">
        <w:rPr>
          <w:sz w:val="20"/>
        </w:rPr>
        <w:t>of historic prope</w:t>
      </w:r>
      <w:smartTag w:uri="urn:schemas-microsoft-com:office:smarttags" w:element="PersonName">
        <w:r w:rsidRPr="007018B7">
          <w:rPr>
            <w:sz w:val="20"/>
          </w:rPr>
          <w:t>rt</w:t>
        </w:r>
      </w:smartTag>
      <w:r w:rsidRPr="007018B7">
        <w:rPr>
          <w:sz w:val="20"/>
        </w:rPr>
        <w:t>ies or archaeological sites;</w:t>
      </w:r>
    </w:p>
    <w:p w:rsidR="003F3A77" w:rsidRPr="007018B7" w:rsidRDefault="003F3A77" w:rsidP="00DB4EE1">
      <w:pPr>
        <w:ind w:left="540" w:hanging="180"/>
        <w:rPr>
          <w:sz w:val="20"/>
        </w:rPr>
      </w:pPr>
      <w:r w:rsidRPr="007018B7">
        <w:rPr>
          <w:sz w:val="20"/>
        </w:rPr>
        <w:t xml:space="preserve">2. </w:t>
      </w:r>
      <w:r w:rsidRPr="00C729D7">
        <w:rPr>
          <w:b/>
          <w:sz w:val="20"/>
        </w:rPr>
        <w:t>Development</w:t>
      </w:r>
      <w:r w:rsidRPr="007018B7">
        <w:rPr>
          <w:sz w:val="20"/>
        </w:rPr>
        <w:t xml:space="preserve"> activities, including: restoration, rehabilitation, preservation, and reconstruction, and site-specific planning required for these activities;</w:t>
      </w:r>
    </w:p>
    <w:p w:rsidR="003F3A77" w:rsidRPr="007018B7" w:rsidRDefault="003F3A77" w:rsidP="00DB4EE1">
      <w:pPr>
        <w:ind w:left="540" w:hanging="180"/>
        <w:rPr>
          <w:sz w:val="20"/>
        </w:rPr>
      </w:pPr>
      <w:r w:rsidRPr="007018B7">
        <w:rPr>
          <w:sz w:val="20"/>
        </w:rPr>
        <w:t xml:space="preserve">3. </w:t>
      </w:r>
      <w:r w:rsidRPr="00C729D7">
        <w:rPr>
          <w:b/>
          <w:sz w:val="20"/>
        </w:rPr>
        <w:t>Archaeological</w:t>
      </w:r>
      <w:r w:rsidRPr="007018B7">
        <w:rPr>
          <w:sz w:val="20"/>
        </w:rPr>
        <w:t xml:space="preserve"> projects, including: research, fiel</w:t>
      </w:r>
      <w:r w:rsidR="00C729D7">
        <w:rPr>
          <w:sz w:val="20"/>
        </w:rPr>
        <w:t>d</w:t>
      </w:r>
      <w:r w:rsidRPr="007018B7">
        <w:rPr>
          <w:sz w:val="20"/>
        </w:rPr>
        <w:t xml:space="preserve"> testing</w:t>
      </w:r>
      <w:r w:rsidR="00C729D7">
        <w:rPr>
          <w:sz w:val="20"/>
        </w:rPr>
        <w:t xml:space="preserve"> and excavation</w:t>
      </w:r>
      <w:r w:rsidRPr="007018B7">
        <w:rPr>
          <w:sz w:val="20"/>
        </w:rPr>
        <w:t>, analysis and publication of findings</w:t>
      </w:r>
      <w:r w:rsidR="00C905A1" w:rsidRPr="007018B7">
        <w:rPr>
          <w:sz w:val="20"/>
        </w:rPr>
        <w:t>, as well as collection research and analyses</w:t>
      </w:r>
      <w:r w:rsidRPr="007018B7">
        <w:rPr>
          <w:sz w:val="20"/>
        </w:rPr>
        <w:t xml:space="preserve">; and </w:t>
      </w:r>
    </w:p>
    <w:p w:rsidR="003F3A77" w:rsidRPr="007018B7" w:rsidRDefault="003F3A77" w:rsidP="00DB4EE1">
      <w:pPr>
        <w:ind w:left="540" w:hanging="180"/>
        <w:rPr>
          <w:sz w:val="20"/>
        </w:rPr>
      </w:pPr>
      <w:r w:rsidRPr="007018B7">
        <w:rPr>
          <w:sz w:val="20"/>
        </w:rPr>
        <w:t xml:space="preserve">4. </w:t>
      </w:r>
      <w:r w:rsidRPr="00C729D7">
        <w:rPr>
          <w:b/>
          <w:sz w:val="20"/>
        </w:rPr>
        <w:t>Museum exhibit</w:t>
      </w:r>
      <w:r w:rsidRPr="007018B7">
        <w:rPr>
          <w:sz w:val="20"/>
        </w:rPr>
        <w:t xml:space="preserve"> projects for Florida history museums, including: research, exhibit design, fabrica</w:t>
      </w:r>
      <w:r w:rsidR="00DB4EE1" w:rsidRPr="007018B7">
        <w:rPr>
          <w:sz w:val="20"/>
        </w:rPr>
        <w:t xml:space="preserve">tion and </w:t>
      </w:r>
      <w:r w:rsidRPr="007018B7">
        <w:rPr>
          <w:sz w:val="20"/>
        </w:rPr>
        <w:t>installation.</w:t>
      </w:r>
    </w:p>
    <w:p w:rsidR="00B12E29" w:rsidRPr="007018B7" w:rsidRDefault="00B12E29" w:rsidP="00763782">
      <w:pPr>
        <w:rPr>
          <w:sz w:val="22"/>
        </w:rPr>
      </w:pPr>
    </w:p>
    <w:p w:rsidR="00B12E29" w:rsidRPr="007018B7" w:rsidRDefault="00B12E29" w:rsidP="00763782">
      <w:pPr>
        <w:rPr>
          <w:sz w:val="20"/>
        </w:rPr>
      </w:pPr>
      <w:r w:rsidRPr="007018B7">
        <w:rPr>
          <w:sz w:val="20"/>
        </w:rPr>
        <w:t xml:space="preserve">Museum Exhibit projects involve development and presentation of exhibitions and educational materials on the history of the human occupation of Florida through use of artifacts, graphics, audiovisual elements, text panels and educational materials.  Projects must result in a tangible </w:t>
      </w:r>
      <w:r w:rsidR="0099695B" w:rsidRPr="007018B7">
        <w:rPr>
          <w:sz w:val="20"/>
        </w:rPr>
        <w:t>product</w:t>
      </w:r>
      <w:r w:rsidRPr="007018B7">
        <w:rPr>
          <w:sz w:val="20"/>
        </w:rPr>
        <w:t xml:space="preserve"> related to Florida history.</w:t>
      </w:r>
    </w:p>
    <w:p w:rsidR="003F3A77" w:rsidRPr="007018B7" w:rsidRDefault="003F3A77" w:rsidP="00763782">
      <w:pPr>
        <w:ind w:left="720"/>
        <w:rPr>
          <w:sz w:val="22"/>
        </w:rPr>
      </w:pPr>
    </w:p>
    <w:p w:rsidR="00B12E29" w:rsidRPr="007018B7" w:rsidRDefault="00B12E29" w:rsidP="00763782">
      <w:pPr>
        <w:rPr>
          <w:sz w:val="20"/>
        </w:rPr>
      </w:pPr>
      <w:r w:rsidRPr="003F3A77">
        <w:rPr>
          <w:sz w:val="20"/>
        </w:rPr>
        <w:t>Property for which an applicant is requesting Special Category grant assistance does not need to be listed in the National Register of Historic Places.  However, if a property is not listed in the National Register, the applicant must provide</w:t>
      </w:r>
      <w:r w:rsidR="0099695B">
        <w:rPr>
          <w:sz w:val="20"/>
        </w:rPr>
        <w:t xml:space="preserve"> sufficient information to allow </w:t>
      </w:r>
      <w:r w:rsidRPr="003F3A77">
        <w:rPr>
          <w:sz w:val="20"/>
        </w:rPr>
        <w:t xml:space="preserve">its historic significance </w:t>
      </w:r>
      <w:r w:rsidR="0099695B">
        <w:rPr>
          <w:sz w:val="20"/>
        </w:rPr>
        <w:t>to</w:t>
      </w:r>
      <w:r w:rsidRPr="003F3A77">
        <w:rPr>
          <w:sz w:val="20"/>
        </w:rPr>
        <w:t xml:space="preserve"> be fully evaluated.  Such historical information for properties that are designated under a local historic preservation o</w:t>
      </w:r>
      <w:r w:rsidR="00FF77AE">
        <w:rPr>
          <w:sz w:val="20"/>
        </w:rPr>
        <w:t>rdinance may be contained in a l</w:t>
      </w:r>
      <w:r w:rsidRPr="003F3A77">
        <w:rPr>
          <w:sz w:val="20"/>
        </w:rPr>
        <w:t xml:space="preserve">ocal Designation </w:t>
      </w:r>
      <w:r w:rsidRPr="003F3A77">
        <w:rPr>
          <w:sz w:val="20"/>
        </w:rPr>
        <w:lastRenderedPageBreak/>
        <w:t xml:space="preserve">Report.  For other properties, this </w:t>
      </w:r>
      <w:r w:rsidRPr="007018B7">
        <w:rPr>
          <w:sz w:val="20"/>
        </w:rPr>
        <w:t xml:space="preserve">information may be contained in a historic sites survey report or other documentation.  It is not necessary to supply this information for historical museum exhibition projects, unless the museum is located in a historic </w:t>
      </w:r>
      <w:r w:rsidR="00FF77AE" w:rsidRPr="007018B7">
        <w:rPr>
          <w:sz w:val="20"/>
        </w:rPr>
        <w:t>building</w:t>
      </w:r>
      <w:r w:rsidRPr="007018B7">
        <w:rPr>
          <w:sz w:val="20"/>
        </w:rPr>
        <w:t>.</w:t>
      </w:r>
    </w:p>
    <w:p w:rsidR="007A528A" w:rsidRPr="007018B7" w:rsidRDefault="007A528A" w:rsidP="00763782">
      <w:pPr>
        <w:rPr>
          <w:sz w:val="20"/>
        </w:rPr>
      </w:pPr>
    </w:p>
    <w:p w:rsidR="007A528A" w:rsidRPr="007018B7" w:rsidRDefault="0099695B" w:rsidP="00763782">
      <w:pPr>
        <w:rPr>
          <w:sz w:val="20"/>
        </w:rPr>
      </w:pPr>
      <w:r w:rsidRPr="007018B7">
        <w:rPr>
          <w:sz w:val="20"/>
        </w:rPr>
        <w:t>A</w:t>
      </w:r>
      <w:r w:rsidR="007A528A" w:rsidRPr="007018B7">
        <w:rPr>
          <w:sz w:val="20"/>
        </w:rPr>
        <w:t xml:space="preserve">ll proposals for </w:t>
      </w:r>
      <w:r w:rsidR="00227F38" w:rsidRPr="007018B7">
        <w:rPr>
          <w:sz w:val="20"/>
        </w:rPr>
        <w:t xml:space="preserve">repair, </w:t>
      </w:r>
      <w:r w:rsidR="007A528A" w:rsidRPr="007018B7">
        <w:rPr>
          <w:sz w:val="20"/>
        </w:rPr>
        <w:t>restoration</w:t>
      </w:r>
      <w:r w:rsidR="00227F38" w:rsidRPr="007018B7">
        <w:rPr>
          <w:sz w:val="20"/>
        </w:rPr>
        <w:t>,</w:t>
      </w:r>
      <w:r w:rsidR="007A528A" w:rsidRPr="007018B7">
        <w:rPr>
          <w:sz w:val="20"/>
        </w:rPr>
        <w:t xml:space="preserve"> or rehabilitation work </w:t>
      </w:r>
      <w:r w:rsidRPr="007018B7">
        <w:rPr>
          <w:sz w:val="20"/>
        </w:rPr>
        <w:t>must</w:t>
      </w:r>
      <w:r w:rsidR="007A528A" w:rsidRPr="007018B7">
        <w:rPr>
          <w:sz w:val="20"/>
        </w:rPr>
        <w:t xml:space="preserve"> follow the </w:t>
      </w:r>
      <w:r w:rsidR="007A528A" w:rsidRPr="007018B7">
        <w:rPr>
          <w:i/>
          <w:sz w:val="20"/>
        </w:rPr>
        <w:t xml:space="preserve">Secretary of Interior’s Standards for </w:t>
      </w:r>
      <w:r w:rsidR="00FF77AE" w:rsidRPr="007018B7">
        <w:rPr>
          <w:i/>
          <w:sz w:val="20"/>
        </w:rPr>
        <w:t>the Treatment of Historic Properties</w:t>
      </w:r>
      <w:r w:rsidR="00E829CB" w:rsidRPr="007018B7">
        <w:rPr>
          <w:i/>
          <w:sz w:val="20"/>
        </w:rPr>
        <w:t>,</w:t>
      </w:r>
      <w:r w:rsidR="007A528A" w:rsidRPr="007018B7">
        <w:rPr>
          <w:i/>
          <w:sz w:val="20"/>
        </w:rPr>
        <w:t xml:space="preserve"> </w:t>
      </w:r>
      <w:r w:rsidR="007A528A" w:rsidRPr="007018B7">
        <w:rPr>
          <w:sz w:val="20"/>
        </w:rPr>
        <w:t xml:space="preserve">and </w:t>
      </w:r>
      <w:r w:rsidR="00E4304E">
        <w:rPr>
          <w:sz w:val="20"/>
        </w:rPr>
        <w:t>applicable</w:t>
      </w:r>
      <w:r w:rsidR="00C905A1" w:rsidRPr="007018B7">
        <w:rPr>
          <w:sz w:val="20"/>
        </w:rPr>
        <w:t xml:space="preserve"> accepted industry standards. A</w:t>
      </w:r>
      <w:r w:rsidR="007A528A" w:rsidRPr="007018B7">
        <w:rPr>
          <w:sz w:val="20"/>
        </w:rPr>
        <w:t>ll proposals for archaeological excavation</w:t>
      </w:r>
      <w:r w:rsidRPr="007018B7">
        <w:rPr>
          <w:sz w:val="20"/>
        </w:rPr>
        <w:t>s must</w:t>
      </w:r>
      <w:r w:rsidR="007A528A" w:rsidRPr="007018B7">
        <w:rPr>
          <w:sz w:val="20"/>
        </w:rPr>
        <w:t xml:space="preserve"> follow the </w:t>
      </w:r>
      <w:r w:rsidR="007A528A" w:rsidRPr="007018B7">
        <w:rPr>
          <w:i/>
          <w:sz w:val="20"/>
        </w:rPr>
        <w:t>Secretary of Interior’s Standards for Archaeological Documentation</w:t>
      </w:r>
      <w:r w:rsidR="007A528A" w:rsidRPr="007018B7">
        <w:rPr>
          <w:sz w:val="20"/>
        </w:rPr>
        <w:t>.</w:t>
      </w:r>
    </w:p>
    <w:p w:rsidR="00F77E25" w:rsidRPr="007018B7" w:rsidRDefault="00F77E25" w:rsidP="00763782">
      <w:pPr>
        <w:rPr>
          <w:sz w:val="20"/>
        </w:rPr>
      </w:pPr>
    </w:p>
    <w:p w:rsidR="00B46E9C" w:rsidRPr="007018B7" w:rsidRDefault="00B46E9C" w:rsidP="00B46E9C">
      <w:pPr>
        <w:rPr>
          <w:sz w:val="20"/>
        </w:rPr>
      </w:pPr>
      <w:r w:rsidRPr="007018B7">
        <w:rPr>
          <w:sz w:val="20"/>
        </w:rPr>
        <w:t xml:space="preserve">Other preservation activities may also be eligible for grant assistance.  If you have a question about the eligibility of a project or work element, please refer to the </w:t>
      </w:r>
      <w:r w:rsidRPr="007018B7">
        <w:rPr>
          <w:i/>
          <w:sz w:val="20"/>
        </w:rPr>
        <w:t>Special Category Grant Guidelines</w:t>
      </w:r>
      <w:r w:rsidRPr="007018B7">
        <w:rPr>
          <w:sz w:val="20"/>
        </w:rPr>
        <w:t xml:space="preserve"> or call the Division of Historical Resources at 850.245.6333 or 1.800.847.7278.</w:t>
      </w:r>
    </w:p>
    <w:p w:rsidR="007B0C95" w:rsidRDefault="007B0C95" w:rsidP="00763782">
      <w:pPr>
        <w:rPr>
          <w:sz w:val="20"/>
        </w:rPr>
      </w:pPr>
    </w:p>
    <w:p w:rsidR="00F7405F" w:rsidRPr="006462BA" w:rsidRDefault="00F7405F" w:rsidP="00F7405F">
      <w:pPr>
        <w:rPr>
          <w:b/>
          <w:sz w:val="20"/>
          <w:u w:val="single"/>
        </w:rPr>
      </w:pPr>
      <w:r>
        <w:rPr>
          <w:b/>
          <w:sz w:val="20"/>
          <w:u w:val="single"/>
        </w:rPr>
        <w:t>STATEWIDE PRESERVATION</w:t>
      </w:r>
      <w:r w:rsidRPr="006462BA">
        <w:rPr>
          <w:b/>
          <w:sz w:val="20"/>
          <w:u w:val="single"/>
        </w:rPr>
        <w:t xml:space="preserve"> PRIORITIES</w:t>
      </w:r>
    </w:p>
    <w:p w:rsidR="00F7405F" w:rsidRPr="00901A52" w:rsidRDefault="00F7405F" w:rsidP="00F7405F">
      <w:pPr>
        <w:rPr>
          <w:sz w:val="20"/>
        </w:rPr>
      </w:pPr>
      <w:r w:rsidRPr="006462BA">
        <w:rPr>
          <w:sz w:val="20"/>
        </w:rPr>
        <w:t xml:space="preserve">Though the Division of Historical Resources will accept applications for the project types listed above, the </w:t>
      </w:r>
      <w:r w:rsidR="008D1016">
        <w:rPr>
          <w:sz w:val="20"/>
        </w:rPr>
        <w:t xml:space="preserve">statewide historic preservation </w:t>
      </w:r>
      <w:r w:rsidRPr="006462BA">
        <w:rPr>
          <w:sz w:val="20"/>
        </w:rPr>
        <w:t>priorities</w:t>
      </w:r>
      <w:r w:rsidR="008D1016">
        <w:rPr>
          <w:sz w:val="20"/>
        </w:rPr>
        <w:t xml:space="preserve"> established by the Division</w:t>
      </w:r>
      <w:r w:rsidRPr="006462BA">
        <w:rPr>
          <w:sz w:val="20"/>
        </w:rPr>
        <w:t xml:space="preserve"> </w:t>
      </w:r>
      <w:r w:rsidRPr="00901A52">
        <w:rPr>
          <w:sz w:val="20"/>
        </w:rPr>
        <w:t>for this cycle are as follows:</w:t>
      </w:r>
    </w:p>
    <w:p w:rsidR="00F7405F" w:rsidRPr="00901A52" w:rsidRDefault="00F7405F" w:rsidP="00F7405F">
      <w:pPr>
        <w:rPr>
          <w:sz w:val="20"/>
        </w:rPr>
      </w:pPr>
    </w:p>
    <w:p w:rsidR="00F7405F" w:rsidRDefault="00F7405F" w:rsidP="00F7405F">
      <w:pPr>
        <w:pStyle w:val="ListParagraph"/>
        <w:numPr>
          <w:ilvl w:val="0"/>
          <w:numId w:val="5"/>
        </w:numPr>
        <w:rPr>
          <w:sz w:val="20"/>
        </w:rPr>
      </w:pPr>
      <w:r w:rsidRPr="00F7405F">
        <w:rPr>
          <w:sz w:val="20"/>
        </w:rPr>
        <w:t>Archaeol</w:t>
      </w:r>
      <w:r>
        <w:rPr>
          <w:sz w:val="20"/>
        </w:rPr>
        <w:t xml:space="preserve">ogical research of collections housed at </w:t>
      </w:r>
      <w:r w:rsidRPr="00F7405F">
        <w:rPr>
          <w:sz w:val="20"/>
        </w:rPr>
        <w:t>established Federal,</w:t>
      </w:r>
      <w:r w:rsidR="000662EC">
        <w:rPr>
          <w:sz w:val="20"/>
        </w:rPr>
        <w:t xml:space="preserve"> State, or public institutions</w:t>
      </w:r>
    </w:p>
    <w:p w:rsidR="000662EC" w:rsidRPr="000662EC" w:rsidRDefault="000662EC" w:rsidP="000662EC">
      <w:pPr>
        <w:pStyle w:val="ListParagraph"/>
        <w:numPr>
          <w:ilvl w:val="0"/>
          <w:numId w:val="5"/>
        </w:numPr>
        <w:rPr>
          <w:sz w:val="20"/>
        </w:rPr>
      </w:pPr>
      <w:r w:rsidRPr="00901A52">
        <w:rPr>
          <w:sz w:val="20"/>
        </w:rPr>
        <w:t>Projects that support communities underrepresented in historic preservation</w:t>
      </w:r>
    </w:p>
    <w:p w:rsidR="00F7405F" w:rsidRPr="007018B7" w:rsidRDefault="00F7405F" w:rsidP="00763782">
      <w:pPr>
        <w:rPr>
          <w:sz w:val="20"/>
        </w:rPr>
      </w:pPr>
    </w:p>
    <w:p w:rsidR="00806EBD" w:rsidRPr="007018B7" w:rsidRDefault="00374DF1" w:rsidP="00763782">
      <w:pPr>
        <w:rPr>
          <w:b/>
          <w:sz w:val="20"/>
          <w:u w:val="single"/>
        </w:rPr>
      </w:pPr>
      <w:r w:rsidRPr="007018B7">
        <w:rPr>
          <w:b/>
          <w:sz w:val="20"/>
          <w:u w:val="single"/>
        </w:rPr>
        <w:t xml:space="preserve">AWARD AMOUNT </w:t>
      </w:r>
      <w:r w:rsidR="00F95492" w:rsidRPr="007018B7">
        <w:rPr>
          <w:b/>
          <w:sz w:val="20"/>
          <w:u w:val="single"/>
        </w:rPr>
        <w:t>AND MATCH REQUIREMENTS</w:t>
      </w:r>
    </w:p>
    <w:p w:rsidR="00374DF1" w:rsidRPr="007018B7" w:rsidRDefault="007B2EC2" w:rsidP="00763782">
      <w:pPr>
        <w:rPr>
          <w:noProof/>
          <w:sz w:val="20"/>
        </w:rPr>
      </w:pPr>
      <w:r w:rsidRPr="007018B7">
        <w:rPr>
          <w:noProof/>
          <w:sz w:val="20"/>
        </w:rPr>
        <w:t>The A</w:t>
      </w:r>
      <w:r w:rsidR="00F95492" w:rsidRPr="007018B7">
        <w:rPr>
          <w:noProof/>
          <w:sz w:val="20"/>
        </w:rPr>
        <w:t>pplica</w:t>
      </w:r>
      <w:r w:rsidR="008E6E56" w:rsidRPr="007018B7">
        <w:rPr>
          <w:noProof/>
          <w:sz w:val="20"/>
        </w:rPr>
        <w:t xml:space="preserve">nt </w:t>
      </w:r>
      <w:r w:rsidRPr="007018B7">
        <w:rPr>
          <w:noProof/>
          <w:sz w:val="20"/>
        </w:rPr>
        <w:t xml:space="preserve">Organization </w:t>
      </w:r>
      <w:r w:rsidR="008E6E56" w:rsidRPr="007018B7">
        <w:rPr>
          <w:noProof/>
          <w:sz w:val="20"/>
        </w:rPr>
        <w:t>shall request no more than $</w:t>
      </w:r>
      <w:r w:rsidR="00F95492" w:rsidRPr="007018B7">
        <w:rPr>
          <w:noProof/>
          <w:sz w:val="20"/>
        </w:rPr>
        <w:t>5</w:t>
      </w:r>
      <w:r w:rsidR="008E6E56" w:rsidRPr="007018B7">
        <w:rPr>
          <w:noProof/>
          <w:sz w:val="20"/>
        </w:rPr>
        <w:t>0</w:t>
      </w:r>
      <w:r w:rsidR="00F95492" w:rsidRPr="007018B7">
        <w:rPr>
          <w:noProof/>
          <w:sz w:val="20"/>
        </w:rPr>
        <w:t>0,000 in a single application. The minimum grant request amount for the Special Category Grant Program is $50,000.</w:t>
      </w:r>
    </w:p>
    <w:p w:rsidR="00F95492" w:rsidRPr="007018B7" w:rsidRDefault="00F95492" w:rsidP="00763782">
      <w:pPr>
        <w:rPr>
          <w:noProof/>
          <w:sz w:val="20"/>
        </w:rPr>
      </w:pPr>
      <w:r w:rsidRPr="007018B7">
        <w:rPr>
          <w:noProof/>
          <w:sz w:val="20"/>
        </w:rPr>
        <w:t xml:space="preserve"> </w:t>
      </w:r>
    </w:p>
    <w:p w:rsidR="00F95492" w:rsidRPr="007018B7" w:rsidRDefault="00F95492" w:rsidP="00763782">
      <w:pPr>
        <w:rPr>
          <w:noProof/>
          <w:sz w:val="20"/>
        </w:rPr>
      </w:pPr>
      <w:r w:rsidRPr="007018B7">
        <w:rPr>
          <w:noProof/>
          <w:sz w:val="20"/>
        </w:rPr>
        <w:t>The match requirement for the Special Category Grant Program shall be the greater of $50,000 or 50</w:t>
      </w:r>
      <w:r w:rsidR="00DB4EE1" w:rsidRPr="007018B7">
        <w:rPr>
          <w:noProof/>
          <w:sz w:val="20"/>
        </w:rPr>
        <w:t xml:space="preserve"> percent</w:t>
      </w:r>
      <w:r w:rsidRPr="007018B7">
        <w:rPr>
          <w:noProof/>
          <w:sz w:val="20"/>
        </w:rPr>
        <w:t xml:space="preserve"> of the </w:t>
      </w:r>
      <w:r w:rsidR="006226D1" w:rsidRPr="007018B7">
        <w:rPr>
          <w:noProof/>
          <w:sz w:val="20"/>
        </w:rPr>
        <w:t>requested grant amount, unless</w:t>
      </w:r>
      <w:r w:rsidRPr="007018B7">
        <w:rPr>
          <w:noProof/>
          <w:sz w:val="20"/>
        </w:rPr>
        <w:t xml:space="preserve"> reduced </w:t>
      </w:r>
      <w:r w:rsidR="00374DF1" w:rsidRPr="007018B7">
        <w:rPr>
          <w:noProof/>
          <w:sz w:val="20"/>
        </w:rPr>
        <w:t>for</w:t>
      </w:r>
      <w:r w:rsidR="0099695B" w:rsidRPr="007018B7">
        <w:rPr>
          <w:noProof/>
          <w:sz w:val="20"/>
        </w:rPr>
        <w:t xml:space="preserve"> communities participating in the</w:t>
      </w:r>
      <w:r w:rsidR="00374DF1" w:rsidRPr="007018B7">
        <w:rPr>
          <w:noProof/>
          <w:sz w:val="20"/>
        </w:rPr>
        <w:t xml:space="preserve"> </w:t>
      </w:r>
      <w:r w:rsidRPr="007018B7">
        <w:rPr>
          <w:noProof/>
          <w:sz w:val="20"/>
        </w:rPr>
        <w:t xml:space="preserve">Rural Economic Development Initiative (REDI) </w:t>
      </w:r>
      <w:r w:rsidR="0099695B" w:rsidRPr="007018B7">
        <w:rPr>
          <w:noProof/>
          <w:sz w:val="20"/>
        </w:rPr>
        <w:t>program</w:t>
      </w:r>
      <w:r w:rsidR="00C21056" w:rsidRPr="007018B7">
        <w:rPr>
          <w:noProof/>
          <w:sz w:val="20"/>
        </w:rPr>
        <w:t>, administered by the</w:t>
      </w:r>
      <w:r w:rsidR="006226D1" w:rsidRPr="007018B7">
        <w:rPr>
          <w:noProof/>
          <w:sz w:val="20"/>
        </w:rPr>
        <w:t xml:space="preserve"> Department of Economic Op</w:t>
      </w:r>
      <w:r w:rsidR="009F783B" w:rsidRPr="007018B7">
        <w:rPr>
          <w:noProof/>
          <w:sz w:val="20"/>
        </w:rPr>
        <w:t>p</w:t>
      </w:r>
      <w:r w:rsidR="006226D1" w:rsidRPr="007018B7">
        <w:rPr>
          <w:noProof/>
          <w:sz w:val="20"/>
        </w:rPr>
        <w:t>ortunity</w:t>
      </w:r>
      <w:r w:rsidR="00C21056" w:rsidRPr="007018B7">
        <w:rPr>
          <w:noProof/>
          <w:sz w:val="20"/>
        </w:rPr>
        <w:t>.</w:t>
      </w:r>
      <w:r w:rsidRPr="007018B7">
        <w:rPr>
          <w:noProof/>
          <w:sz w:val="20"/>
        </w:rPr>
        <w:t xml:space="preserve"> </w:t>
      </w:r>
      <w:r w:rsidR="00374DF1" w:rsidRPr="007018B7">
        <w:rPr>
          <w:sz w:val="20"/>
        </w:rPr>
        <w:t>T</w:t>
      </w:r>
      <w:r w:rsidRPr="007018B7">
        <w:rPr>
          <w:sz w:val="20"/>
        </w:rPr>
        <w:t xml:space="preserve">he match requirement shall be </w:t>
      </w:r>
      <w:r w:rsidRPr="007018B7">
        <w:rPr>
          <w:noProof/>
          <w:sz w:val="20"/>
        </w:rPr>
        <w:t>reduced to 10</w:t>
      </w:r>
      <w:r w:rsidR="00DB4EE1" w:rsidRPr="007018B7">
        <w:rPr>
          <w:noProof/>
          <w:sz w:val="20"/>
        </w:rPr>
        <w:t xml:space="preserve"> percent</w:t>
      </w:r>
      <w:r w:rsidRPr="007018B7">
        <w:rPr>
          <w:noProof/>
          <w:sz w:val="20"/>
        </w:rPr>
        <w:t xml:space="preserve"> of the requested grant amount</w:t>
      </w:r>
      <w:r w:rsidRPr="007018B7">
        <w:rPr>
          <w:sz w:val="20"/>
        </w:rPr>
        <w:t xml:space="preserve"> for projects within rural </w:t>
      </w:r>
      <w:r w:rsidR="00227F38" w:rsidRPr="007018B7">
        <w:rPr>
          <w:sz w:val="20"/>
        </w:rPr>
        <w:t xml:space="preserve">counties or </w:t>
      </w:r>
      <w:r w:rsidRPr="007018B7">
        <w:rPr>
          <w:sz w:val="20"/>
        </w:rPr>
        <w:t xml:space="preserve">communities designated as </w:t>
      </w:r>
      <w:r w:rsidR="00E829CB" w:rsidRPr="007018B7">
        <w:rPr>
          <w:noProof/>
          <w:sz w:val="20"/>
        </w:rPr>
        <w:t>REDI-</w:t>
      </w:r>
      <w:r w:rsidRPr="007018B7">
        <w:rPr>
          <w:noProof/>
          <w:sz w:val="20"/>
        </w:rPr>
        <w:t>qualified in accordance with Sec</w:t>
      </w:r>
      <w:r w:rsidR="00C21056" w:rsidRPr="007018B7">
        <w:rPr>
          <w:noProof/>
          <w:sz w:val="20"/>
        </w:rPr>
        <w:t xml:space="preserve">tions 288.0656 and 288.06561, </w:t>
      </w:r>
      <w:r w:rsidR="00C21056" w:rsidRPr="007018B7">
        <w:rPr>
          <w:i/>
          <w:noProof/>
          <w:sz w:val="20"/>
        </w:rPr>
        <w:t xml:space="preserve">Florida </w:t>
      </w:r>
      <w:r w:rsidRPr="007018B7">
        <w:rPr>
          <w:i/>
          <w:noProof/>
          <w:sz w:val="20"/>
        </w:rPr>
        <w:t>S</w:t>
      </w:r>
      <w:r w:rsidR="00C21056" w:rsidRPr="007018B7">
        <w:rPr>
          <w:i/>
          <w:noProof/>
          <w:sz w:val="20"/>
        </w:rPr>
        <w:t>tatutes</w:t>
      </w:r>
      <w:r w:rsidRPr="007018B7">
        <w:rPr>
          <w:noProof/>
          <w:sz w:val="20"/>
        </w:rPr>
        <w:t xml:space="preserve">. The </w:t>
      </w:r>
      <w:r w:rsidR="00227F38" w:rsidRPr="007018B7">
        <w:rPr>
          <w:noProof/>
          <w:sz w:val="20"/>
        </w:rPr>
        <w:t xml:space="preserve">county or </w:t>
      </w:r>
      <w:r w:rsidRPr="007018B7">
        <w:rPr>
          <w:noProof/>
          <w:sz w:val="20"/>
        </w:rPr>
        <w:t xml:space="preserve">community in which the project is </w:t>
      </w:r>
      <w:r w:rsidR="00227F38" w:rsidRPr="007018B7">
        <w:rPr>
          <w:noProof/>
          <w:sz w:val="20"/>
        </w:rPr>
        <w:t xml:space="preserve">proposed to be </w:t>
      </w:r>
      <w:r w:rsidRPr="007018B7">
        <w:rPr>
          <w:noProof/>
          <w:sz w:val="20"/>
        </w:rPr>
        <w:t>located must be a REDI community at the time of application</w:t>
      </w:r>
      <w:r w:rsidR="00227F38" w:rsidRPr="007018B7">
        <w:rPr>
          <w:noProof/>
          <w:sz w:val="20"/>
        </w:rPr>
        <w:t xml:space="preserve"> submission</w:t>
      </w:r>
      <w:r w:rsidRPr="007018B7">
        <w:rPr>
          <w:noProof/>
          <w:sz w:val="20"/>
          <w:shd w:val="clear" w:color="auto" w:fill="FFFFFF"/>
        </w:rPr>
        <w:t>.</w:t>
      </w:r>
      <w:r w:rsidRPr="007018B7">
        <w:rPr>
          <w:noProof/>
          <w:sz w:val="20"/>
        </w:rPr>
        <w:t xml:space="preserve"> A list of REDI qualified counties and </w:t>
      </w:r>
      <w:r w:rsidR="00FF77AE" w:rsidRPr="007018B7">
        <w:rPr>
          <w:noProof/>
          <w:sz w:val="20"/>
        </w:rPr>
        <w:t>municipalities</w:t>
      </w:r>
      <w:r w:rsidRPr="007018B7">
        <w:rPr>
          <w:noProof/>
          <w:sz w:val="20"/>
        </w:rPr>
        <w:t xml:space="preserve"> is available </w:t>
      </w:r>
      <w:r w:rsidR="00384C21" w:rsidRPr="007018B7">
        <w:rPr>
          <w:noProof/>
          <w:sz w:val="20"/>
        </w:rPr>
        <w:t xml:space="preserve">by contacting </w:t>
      </w:r>
      <w:r w:rsidRPr="007018B7">
        <w:rPr>
          <w:noProof/>
          <w:sz w:val="20"/>
        </w:rPr>
        <w:t xml:space="preserve">the </w:t>
      </w:r>
      <w:r w:rsidR="006226D1" w:rsidRPr="007018B7">
        <w:rPr>
          <w:noProof/>
          <w:sz w:val="20"/>
        </w:rPr>
        <w:t>Department of Economic Op</w:t>
      </w:r>
      <w:r w:rsidR="009F783B" w:rsidRPr="007018B7">
        <w:rPr>
          <w:noProof/>
          <w:sz w:val="20"/>
        </w:rPr>
        <w:t>p</w:t>
      </w:r>
      <w:r w:rsidR="006226D1" w:rsidRPr="007018B7">
        <w:rPr>
          <w:noProof/>
          <w:sz w:val="20"/>
        </w:rPr>
        <w:t>ortunity</w:t>
      </w:r>
      <w:r w:rsidR="00384C21" w:rsidRPr="007018B7">
        <w:rPr>
          <w:noProof/>
          <w:sz w:val="20"/>
        </w:rPr>
        <w:t>.</w:t>
      </w:r>
    </w:p>
    <w:p w:rsidR="00653BB8" w:rsidRPr="007018B7" w:rsidRDefault="00653BB8" w:rsidP="00763782">
      <w:pPr>
        <w:rPr>
          <w:sz w:val="20"/>
        </w:rPr>
      </w:pPr>
    </w:p>
    <w:p w:rsidR="00653BB8" w:rsidRPr="007018B7" w:rsidRDefault="00653BB8" w:rsidP="00763782">
      <w:pPr>
        <w:rPr>
          <w:b/>
          <w:sz w:val="20"/>
          <w:u w:val="single"/>
        </w:rPr>
      </w:pPr>
      <w:r w:rsidRPr="007018B7">
        <w:rPr>
          <w:b/>
          <w:sz w:val="20"/>
        </w:rPr>
        <w:t xml:space="preserve">Please remember that </w:t>
      </w:r>
      <w:r w:rsidRPr="007018B7">
        <w:rPr>
          <w:b/>
          <w:bCs/>
          <w:sz w:val="20"/>
        </w:rPr>
        <w:t>any</w:t>
      </w:r>
      <w:r w:rsidRPr="007018B7">
        <w:rPr>
          <w:bCs/>
          <w:sz w:val="20"/>
        </w:rPr>
        <w:t xml:space="preserve"> </w:t>
      </w:r>
      <w:r w:rsidRPr="007018B7">
        <w:rPr>
          <w:b/>
          <w:bCs/>
          <w:sz w:val="20"/>
        </w:rPr>
        <w:t>work undertaken prior to the grant period is not allowable to be covered by grant funds or count as match contribution.</w:t>
      </w:r>
    </w:p>
    <w:p w:rsidR="00374DF1" w:rsidRPr="007018B7" w:rsidRDefault="00374DF1" w:rsidP="00763782"/>
    <w:p w:rsidR="00227F38" w:rsidRPr="007018B7" w:rsidRDefault="00227F38" w:rsidP="00763782">
      <w:pPr>
        <w:rPr>
          <w:b/>
          <w:sz w:val="20"/>
          <w:u w:val="single"/>
        </w:rPr>
      </w:pPr>
      <w:r w:rsidRPr="007018B7">
        <w:rPr>
          <w:b/>
          <w:sz w:val="20"/>
          <w:u w:val="single"/>
        </w:rPr>
        <w:t>NUMBER OF APPLICATIONS</w:t>
      </w:r>
    </w:p>
    <w:p w:rsidR="00227F38" w:rsidRPr="007018B7" w:rsidRDefault="00227F38" w:rsidP="00227F38">
      <w:pPr>
        <w:overflowPunct w:val="0"/>
        <w:autoSpaceDE w:val="0"/>
        <w:autoSpaceDN w:val="0"/>
        <w:adjustRightInd w:val="0"/>
        <w:textAlignment w:val="baseline"/>
        <w:rPr>
          <w:noProof/>
          <w:sz w:val="20"/>
        </w:rPr>
      </w:pPr>
      <w:r w:rsidRPr="007018B7">
        <w:rPr>
          <w:noProof/>
          <w:sz w:val="20"/>
        </w:rPr>
        <w:t xml:space="preserve">An Applicant Organization may submit only one (1) Historic Preservation Special Category Grant Application under a single application submission period. State, county or city governments, or universities may submit single applications from more than one division or department during any grant cycle, provided that those divisions or departments are separate and distinct budgetary units, and provided that applications do not address the same facility, project, </w:t>
      </w:r>
      <w:r w:rsidR="00C905A1" w:rsidRPr="007018B7">
        <w:rPr>
          <w:noProof/>
          <w:sz w:val="20"/>
        </w:rPr>
        <w:t xml:space="preserve">property, </w:t>
      </w:r>
      <w:r w:rsidRPr="007018B7">
        <w:rPr>
          <w:noProof/>
          <w:sz w:val="20"/>
        </w:rPr>
        <w:t>or site.</w:t>
      </w:r>
    </w:p>
    <w:p w:rsidR="00227F38" w:rsidRPr="007018B7" w:rsidRDefault="00227F38" w:rsidP="00227F38">
      <w:pPr>
        <w:overflowPunct w:val="0"/>
        <w:autoSpaceDE w:val="0"/>
        <w:autoSpaceDN w:val="0"/>
        <w:adjustRightInd w:val="0"/>
        <w:textAlignment w:val="baseline"/>
        <w:rPr>
          <w:noProof/>
          <w:sz w:val="20"/>
        </w:rPr>
      </w:pPr>
    </w:p>
    <w:p w:rsidR="00227F38" w:rsidRPr="007018B7" w:rsidRDefault="00C905A1" w:rsidP="00227F38">
      <w:pPr>
        <w:overflowPunct w:val="0"/>
        <w:autoSpaceDE w:val="0"/>
        <w:autoSpaceDN w:val="0"/>
        <w:adjustRightInd w:val="0"/>
        <w:textAlignment w:val="baseline"/>
        <w:rPr>
          <w:noProof/>
          <w:sz w:val="20"/>
        </w:rPr>
      </w:pPr>
      <w:r w:rsidRPr="007018B7">
        <w:rPr>
          <w:noProof/>
          <w:sz w:val="20"/>
        </w:rPr>
        <w:t xml:space="preserve">Application Organizations </w:t>
      </w:r>
      <w:r w:rsidR="00227F38" w:rsidRPr="007018B7">
        <w:rPr>
          <w:noProof/>
          <w:sz w:val="20"/>
        </w:rPr>
        <w:t xml:space="preserve">may have no more than one (1) previously awarded </w:t>
      </w:r>
      <w:r w:rsidR="00227F38" w:rsidRPr="007018B7">
        <w:rPr>
          <w:noProof/>
          <w:sz w:val="20"/>
          <w:shd w:val="clear" w:color="auto" w:fill="FFFFFF"/>
        </w:rPr>
        <w:t>grant</w:t>
      </w:r>
      <w:r w:rsidR="00227F38" w:rsidRPr="007018B7">
        <w:rPr>
          <w:noProof/>
          <w:sz w:val="20"/>
        </w:rPr>
        <w:t xml:space="preserve"> </w:t>
      </w:r>
      <w:r w:rsidRPr="007018B7">
        <w:rPr>
          <w:noProof/>
          <w:sz w:val="20"/>
        </w:rPr>
        <w:t xml:space="preserve">from the </w:t>
      </w:r>
      <w:r w:rsidR="0083343D" w:rsidRPr="007018B7">
        <w:rPr>
          <w:noProof/>
          <w:sz w:val="20"/>
        </w:rPr>
        <w:t>D</w:t>
      </w:r>
      <w:r w:rsidRPr="007018B7">
        <w:rPr>
          <w:noProof/>
          <w:sz w:val="20"/>
        </w:rPr>
        <w:t xml:space="preserve">ivision (Special Category or Small Matching) </w:t>
      </w:r>
      <w:r w:rsidR="00227F38" w:rsidRPr="007018B7">
        <w:rPr>
          <w:noProof/>
          <w:sz w:val="20"/>
        </w:rPr>
        <w:t xml:space="preserve">open at the time of application. </w:t>
      </w:r>
      <w:r w:rsidRPr="007018B7">
        <w:rPr>
          <w:noProof/>
          <w:sz w:val="20"/>
        </w:rPr>
        <w:t xml:space="preserve">Applications from Applicant Organizations with more than one open </w:t>
      </w:r>
      <w:r w:rsidRPr="007018B7">
        <w:rPr>
          <w:noProof/>
          <w:sz w:val="20"/>
          <w:shd w:val="clear" w:color="auto" w:fill="FFFFFF"/>
        </w:rPr>
        <w:t>grant</w:t>
      </w:r>
      <w:r w:rsidRPr="007018B7">
        <w:rPr>
          <w:noProof/>
          <w:sz w:val="20"/>
        </w:rPr>
        <w:t xml:space="preserve"> from the Division will not be accepted. Open grants include: Any previously </w:t>
      </w:r>
      <w:r w:rsidR="0036216D">
        <w:rPr>
          <w:noProof/>
          <w:sz w:val="20"/>
        </w:rPr>
        <w:t>reviewed</w:t>
      </w:r>
      <w:r w:rsidRPr="007018B7">
        <w:rPr>
          <w:noProof/>
          <w:sz w:val="20"/>
        </w:rPr>
        <w:t xml:space="preserve"> applications that</w:t>
      </w:r>
      <w:r w:rsidR="0036216D">
        <w:rPr>
          <w:noProof/>
          <w:sz w:val="20"/>
        </w:rPr>
        <w:t xml:space="preserve"> have been submitted to the </w:t>
      </w:r>
      <w:r w:rsidRPr="007018B7">
        <w:rPr>
          <w:noProof/>
          <w:sz w:val="20"/>
        </w:rPr>
        <w:t>Florida Legislature</w:t>
      </w:r>
      <w:r w:rsidR="0036216D">
        <w:rPr>
          <w:noProof/>
          <w:sz w:val="20"/>
        </w:rPr>
        <w:t xml:space="preserve"> for funding</w:t>
      </w:r>
      <w:r w:rsidRPr="007018B7">
        <w:rPr>
          <w:noProof/>
          <w:sz w:val="20"/>
        </w:rPr>
        <w:t>; any applications that have been designated funding by the Florida Legislature but have not yet executed a Grant Award Agreement; any funded grant that has not completed its Scope of Work or is still in its</w:t>
      </w:r>
      <w:r w:rsidRPr="007018B7">
        <w:rPr>
          <w:sz w:val="20"/>
        </w:rPr>
        <w:t xml:space="preserve"> Grant</w:t>
      </w:r>
      <w:r w:rsidRPr="007018B7">
        <w:rPr>
          <w:noProof/>
          <w:sz w:val="20"/>
        </w:rPr>
        <w:t xml:space="preserve"> Period. </w:t>
      </w:r>
      <w:r w:rsidR="00227F38" w:rsidRPr="007018B7">
        <w:rPr>
          <w:noProof/>
          <w:sz w:val="20"/>
        </w:rPr>
        <w:t xml:space="preserve">As such, applications from Applicant Organizations with more than one open </w:t>
      </w:r>
      <w:r w:rsidR="00227F38" w:rsidRPr="007018B7">
        <w:rPr>
          <w:noProof/>
          <w:sz w:val="20"/>
          <w:shd w:val="clear" w:color="auto" w:fill="FFFFFF"/>
        </w:rPr>
        <w:t>grant</w:t>
      </w:r>
      <w:r w:rsidR="00227F38" w:rsidRPr="007018B7">
        <w:rPr>
          <w:noProof/>
          <w:sz w:val="20"/>
        </w:rPr>
        <w:t xml:space="preserve"> </w:t>
      </w:r>
      <w:r w:rsidR="0083343D" w:rsidRPr="007018B7">
        <w:rPr>
          <w:noProof/>
          <w:sz w:val="20"/>
        </w:rPr>
        <w:t xml:space="preserve">from the Division </w:t>
      </w:r>
      <w:r w:rsidR="00227F38" w:rsidRPr="007018B7">
        <w:rPr>
          <w:noProof/>
          <w:sz w:val="20"/>
        </w:rPr>
        <w:t>shall be ineligible.</w:t>
      </w:r>
    </w:p>
    <w:p w:rsidR="00227F38" w:rsidRPr="007018B7" w:rsidRDefault="00227F38" w:rsidP="00227F38">
      <w:pPr>
        <w:overflowPunct w:val="0"/>
        <w:autoSpaceDE w:val="0"/>
        <w:autoSpaceDN w:val="0"/>
        <w:adjustRightInd w:val="0"/>
        <w:ind w:firstLine="360"/>
        <w:textAlignment w:val="baseline"/>
        <w:rPr>
          <w:noProof/>
          <w:sz w:val="20"/>
        </w:rPr>
      </w:pPr>
    </w:p>
    <w:p w:rsidR="00374DF1" w:rsidRPr="007018B7" w:rsidRDefault="00374DF1" w:rsidP="00763782">
      <w:pPr>
        <w:rPr>
          <w:b/>
          <w:sz w:val="20"/>
          <w:u w:val="single"/>
        </w:rPr>
      </w:pPr>
      <w:r w:rsidRPr="007018B7">
        <w:rPr>
          <w:b/>
          <w:sz w:val="20"/>
          <w:u w:val="single"/>
        </w:rPr>
        <w:t>APPLICATION DEADLINE</w:t>
      </w:r>
    </w:p>
    <w:p w:rsidR="00374DF1" w:rsidRPr="007018B7" w:rsidRDefault="00374DF1" w:rsidP="00763782">
      <w:pPr>
        <w:rPr>
          <w:sz w:val="20"/>
        </w:rPr>
      </w:pPr>
      <w:r w:rsidRPr="007018B7">
        <w:rPr>
          <w:sz w:val="20"/>
        </w:rPr>
        <w:t>Applications will be accepted</w:t>
      </w:r>
      <w:r w:rsidR="00F66952" w:rsidRPr="007018B7">
        <w:rPr>
          <w:sz w:val="20"/>
        </w:rPr>
        <w:t xml:space="preserve"> </w:t>
      </w:r>
      <w:r w:rsidR="00E4304E">
        <w:rPr>
          <w:sz w:val="20"/>
        </w:rPr>
        <w:t>only via</w:t>
      </w:r>
      <w:r w:rsidR="00227F38" w:rsidRPr="007018B7">
        <w:rPr>
          <w:sz w:val="20"/>
        </w:rPr>
        <w:t xml:space="preserve"> the Department of State grants </w:t>
      </w:r>
      <w:r w:rsidR="00F66952" w:rsidRPr="007018B7">
        <w:rPr>
          <w:sz w:val="20"/>
        </w:rPr>
        <w:t xml:space="preserve">online </w:t>
      </w:r>
      <w:r w:rsidR="00227F38" w:rsidRPr="007018B7">
        <w:rPr>
          <w:sz w:val="20"/>
        </w:rPr>
        <w:t xml:space="preserve">system </w:t>
      </w:r>
      <w:r w:rsidR="00F66952" w:rsidRPr="007018B7">
        <w:rPr>
          <w:sz w:val="20"/>
        </w:rPr>
        <w:t>between</w:t>
      </w:r>
      <w:r w:rsidRPr="007018B7">
        <w:rPr>
          <w:sz w:val="20"/>
        </w:rPr>
        <w:t xml:space="preserve"> </w:t>
      </w:r>
      <w:r w:rsidR="00227F38" w:rsidRPr="007018B7">
        <w:rPr>
          <w:sz w:val="20"/>
        </w:rPr>
        <w:t xml:space="preserve">May </w:t>
      </w:r>
      <w:r w:rsidR="00C905A1" w:rsidRPr="007018B7">
        <w:rPr>
          <w:sz w:val="20"/>
        </w:rPr>
        <w:t>15</w:t>
      </w:r>
      <w:r w:rsidR="00227F38" w:rsidRPr="007018B7">
        <w:rPr>
          <w:sz w:val="20"/>
        </w:rPr>
        <w:t>, 2017</w:t>
      </w:r>
      <w:r w:rsidR="00E4304E">
        <w:rPr>
          <w:sz w:val="20"/>
        </w:rPr>
        <w:t>,</w:t>
      </w:r>
      <w:r w:rsidR="000633C6" w:rsidRPr="007018B7">
        <w:rPr>
          <w:sz w:val="20"/>
        </w:rPr>
        <w:t xml:space="preserve"> </w:t>
      </w:r>
      <w:r w:rsidR="00F66952" w:rsidRPr="007018B7">
        <w:rPr>
          <w:bCs/>
          <w:sz w:val="20"/>
        </w:rPr>
        <w:t>and</w:t>
      </w:r>
      <w:r w:rsidRPr="007018B7">
        <w:rPr>
          <w:bCs/>
          <w:sz w:val="20"/>
        </w:rPr>
        <w:t xml:space="preserve"> </w:t>
      </w:r>
      <w:r w:rsidR="00227F38" w:rsidRPr="007018B7">
        <w:rPr>
          <w:bCs/>
          <w:sz w:val="20"/>
        </w:rPr>
        <w:t>5:00</w:t>
      </w:r>
      <w:r w:rsidR="00763782" w:rsidRPr="007018B7">
        <w:rPr>
          <w:bCs/>
          <w:sz w:val="20"/>
        </w:rPr>
        <w:t xml:space="preserve"> </w:t>
      </w:r>
      <w:r w:rsidR="00F66952" w:rsidRPr="007018B7">
        <w:rPr>
          <w:bCs/>
          <w:sz w:val="20"/>
        </w:rPr>
        <w:t>p</w:t>
      </w:r>
      <w:r w:rsidR="00763782" w:rsidRPr="007018B7">
        <w:rPr>
          <w:bCs/>
          <w:sz w:val="20"/>
        </w:rPr>
        <w:t>.</w:t>
      </w:r>
      <w:r w:rsidR="00F66952" w:rsidRPr="007018B7">
        <w:rPr>
          <w:bCs/>
          <w:sz w:val="20"/>
        </w:rPr>
        <w:t>m</w:t>
      </w:r>
      <w:r w:rsidR="00763782" w:rsidRPr="007018B7">
        <w:rPr>
          <w:bCs/>
          <w:sz w:val="20"/>
        </w:rPr>
        <w:t>.</w:t>
      </w:r>
      <w:r w:rsidR="00F66952" w:rsidRPr="007018B7">
        <w:rPr>
          <w:bCs/>
          <w:sz w:val="20"/>
        </w:rPr>
        <w:t xml:space="preserve"> on </w:t>
      </w:r>
      <w:r w:rsidR="00C905A1" w:rsidRPr="007018B7">
        <w:rPr>
          <w:bCs/>
          <w:sz w:val="20"/>
        </w:rPr>
        <w:t>June 15</w:t>
      </w:r>
      <w:r w:rsidR="00227F38" w:rsidRPr="007018B7">
        <w:rPr>
          <w:bCs/>
          <w:sz w:val="20"/>
        </w:rPr>
        <w:t>, 2017</w:t>
      </w:r>
      <w:r w:rsidRPr="007018B7">
        <w:rPr>
          <w:sz w:val="20"/>
        </w:rPr>
        <w:t xml:space="preserve">.  </w:t>
      </w:r>
    </w:p>
    <w:p w:rsidR="00374DF1" w:rsidRPr="007018B7" w:rsidRDefault="00374DF1" w:rsidP="00763782">
      <w:pPr>
        <w:rPr>
          <w:b/>
          <w:sz w:val="20"/>
          <w:u w:val="single"/>
        </w:rPr>
      </w:pPr>
    </w:p>
    <w:p w:rsidR="00374DF1" w:rsidRPr="007018B7" w:rsidRDefault="00374DF1" w:rsidP="00763782">
      <w:pPr>
        <w:rPr>
          <w:sz w:val="20"/>
          <w:u w:val="single"/>
        </w:rPr>
      </w:pPr>
      <w:r w:rsidRPr="007018B7">
        <w:rPr>
          <w:b/>
          <w:sz w:val="20"/>
          <w:u w:val="single"/>
        </w:rPr>
        <w:t>APPLICATION REVIEW AND PROJECT SELECTION</w:t>
      </w:r>
    </w:p>
    <w:p w:rsidR="00374DF1" w:rsidRPr="007018B7" w:rsidRDefault="00374DF1" w:rsidP="00763782">
      <w:pPr>
        <w:rPr>
          <w:sz w:val="20"/>
        </w:rPr>
      </w:pPr>
      <w:r w:rsidRPr="007018B7">
        <w:rPr>
          <w:sz w:val="20"/>
        </w:rPr>
        <w:t>Eligible applications will be evaluated on a competitive basis by the Florida Historical Commission</w:t>
      </w:r>
      <w:r w:rsidR="00F66952" w:rsidRPr="007018B7">
        <w:rPr>
          <w:sz w:val="20"/>
        </w:rPr>
        <w:t xml:space="preserve"> (FHC)</w:t>
      </w:r>
      <w:r w:rsidRPr="007018B7">
        <w:rPr>
          <w:sz w:val="20"/>
        </w:rPr>
        <w:t xml:space="preserve"> in a public meeting scheduled for </w:t>
      </w:r>
      <w:r w:rsidR="00C905A1" w:rsidRPr="007018B7">
        <w:rPr>
          <w:b/>
          <w:sz w:val="20"/>
        </w:rPr>
        <w:t>September 19 and 20, 2017</w:t>
      </w:r>
      <w:r w:rsidRPr="007018B7">
        <w:rPr>
          <w:sz w:val="20"/>
        </w:rPr>
        <w:t>.  The Commission will review</w:t>
      </w:r>
      <w:r w:rsidR="00E4304E">
        <w:rPr>
          <w:sz w:val="20"/>
        </w:rPr>
        <w:t xml:space="preserve"> and score</w:t>
      </w:r>
      <w:r w:rsidRPr="007018B7">
        <w:rPr>
          <w:sz w:val="20"/>
        </w:rPr>
        <w:t xml:space="preserve"> applications pursuant to criteria in Chapter 1A-</w:t>
      </w:r>
      <w:r w:rsidR="000633C6" w:rsidRPr="007018B7">
        <w:rPr>
          <w:sz w:val="20"/>
        </w:rPr>
        <w:t>39.001</w:t>
      </w:r>
      <w:r w:rsidRPr="007018B7">
        <w:rPr>
          <w:sz w:val="20"/>
        </w:rPr>
        <w:t xml:space="preserve">, </w:t>
      </w:r>
      <w:r w:rsidRPr="007018B7">
        <w:rPr>
          <w:i/>
          <w:sz w:val="20"/>
        </w:rPr>
        <w:t>Florida Administrative Code</w:t>
      </w:r>
      <w:r w:rsidRPr="007018B7">
        <w:rPr>
          <w:sz w:val="20"/>
        </w:rPr>
        <w:t xml:space="preserve">, and recommend </w:t>
      </w:r>
      <w:r w:rsidR="00E4304E">
        <w:rPr>
          <w:sz w:val="20"/>
        </w:rPr>
        <w:t xml:space="preserve">to the Secretary of State </w:t>
      </w:r>
      <w:r w:rsidRPr="007018B7">
        <w:rPr>
          <w:sz w:val="20"/>
        </w:rPr>
        <w:t>those applications that should be forwarded to the 20</w:t>
      </w:r>
      <w:r w:rsidR="000D512E" w:rsidRPr="007018B7">
        <w:rPr>
          <w:sz w:val="20"/>
        </w:rPr>
        <w:t>18</w:t>
      </w:r>
      <w:r w:rsidRPr="007018B7">
        <w:rPr>
          <w:sz w:val="20"/>
        </w:rPr>
        <w:t xml:space="preserve"> Legislature for funding consideration in State Fiscal Year 20</w:t>
      </w:r>
      <w:r w:rsidR="000D512E" w:rsidRPr="007018B7">
        <w:rPr>
          <w:sz w:val="20"/>
        </w:rPr>
        <w:t>19</w:t>
      </w:r>
      <w:r w:rsidRPr="007018B7">
        <w:rPr>
          <w:sz w:val="20"/>
        </w:rPr>
        <w:t xml:space="preserve">.  A level of funding (full or partial) will be </w:t>
      </w:r>
      <w:r w:rsidR="00FF77AE" w:rsidRPr="007018B7">
        <w:rPr>
          <w:sz w:val="20"/>
        </w:rPr>
        <w:t>recommended</w:t>
      </w:r>
      <w:r w:rsidRPr="007018B7">
        <w:rPr>
          <w:sz w:val="20"/>
        </w:rPr>
        <w:t xml:space="preserve"> for each project.  In accordance with the </w:t>
      </w:r>
      <w:r w:rsidRPr="007018B7">
        <w:rPr>
          <w:sz w:val="20"/>
        </w:rPr>
        <w:lastRenderedPageBreak/>
        <w:t xml:space="preserve">Government Performance and Accountability Act of 1994, </w:t>
      </w:r>
      <w:r w:rsidR="00230645" w:rsidRPr="007018B7">
        <w:rPr>
          <w:sz w:val="20"/>
        </w:rPr>
        <w:t>the Division of Historical Resources</w:t>
      </w:r>
      <w:r w:rsidR="00FF77AE" w:rsidRPr="007018B7">
        <w:rPr>
          <w:sz w:val="20"/>
        </w:rPr>
        <w:t xml:space="preserve"> </w:t>
      </w:r>
      <w:r w:rsidRPr="007018B7">
        <w:rPr>
          <w:sz w:val="20"/>
        </w:rPr>
        <w:t>is mandated to increase the number of historic and archaeological properties protected or preserved for public use.  As a result,</w:t>
      </w:r>
      <w:r w:rsidR="00E829CB" w:rsidRPr="007018B7">
        <w:rPr>
          <w:sz w:val="20"/>
        </w:rPr>
        <w:t xml:space="preserve"> in order to meaningfully benefit as many properties as possible,</w:t>
      </w:r>
      <w:r w:rsidRPr="007018B7">
        <w:rPr>
          <w:sz w:val="20"/>
        </w:rPr>
        <w:t xml:space="preserve"> projects may not be recommended for th</w:t>
      </w:r>
      <w:r w:rsidR="00763782" w:rsidRPr="007018B7">
        <w:rPr>
          <w:sz w:val="20"/>
        </w:rPr>
        <w:t xml:space="preserve">e full amount requested; rather, </w:t>
      </w:r>
      <w:r w:rsidRPr="007018B7">
        <w:rPr>
          <w:sz w:val="20"/>
        </w:rPr>
        <w:t xml:space="preserve">the </w:t>
      </w:r>
      <w:r w:rsidR="000633C6" w:rsidRPr="007018B7">
        <w:rPr>
          <w:sz w:val="20"/>
        </w:rPr>
        <w:t>FHC</w:t>
      </w:r>
      <w:r w:rsidRPr="007018B7">
        <w:rPr>
          <w:sz w:val="20"/>
        </w:rPr>
        <w:t xml:space="preserve"> may recommend an amount intended as a significant contribution to the project.  </w:t>
      </w:r>
    </w:p>
    <w:p w:rsidR="00E4304E" w:rsidRDefault="00E4304E" w:rsidP="00763782">
      <w:pPr>
        <w:rPr>
          <w:sz w:val="20"/>
        </w:rPr>
      </w:pPr>
    </w:p>
    <w:p w:rsidR="00374DF1" w:rsidRPr="007018B7" w:rsidRDefault="00374DF1" w:rsidP="00763782">
      <w:pPr>
        <w:rPr>
          <w:sz w:val="20"/>
        </w:rPr>
      </w:pPr>
      <w:r w:rsidRPr="007018B7">
        <w:rPr>
          <w:sz w:val="20"/>
        </w:rPr>
        <w:t xml:space="preserve">The </w:t>
      </w:r>
      <w:r w:rsidR="000633C6" w:rsidRPr="007018B7">
        <w:rPr>
          <w:sz w:val="20"/>
        </w:rPr>
        <w:t>FHC</w:t>
      </w:r>
      <w:r w:rsidR="00E4304E">
        <w:rPr>
          <w:sz w:val="20"/>
        </w:rPr>
        <w:t xml:space="preserve">’s recommendation to the </w:t>
      </w:r>
      <w:r w:rsidRPr="007018B7">
        <w:rPr>
          <w:sz w:val="20"/>
        </w:rPr>
        <w:t>Secretary of State</w:t>
      </w:r>
      <w:r w:rsidR="00E4304E">
        <w:rPr>
          <w:sz w:val="20"/>
        </w:rPr>
        <w:t xml:space="preserve"> w</w:t>
      </w:r>
      <w:r w:rsidRPr="007018B7">
        <w:rPr>
          <w:sz w:val="20"/>
        </w:rPr>
        <w:t>ill not result in any immediate grant award.  The award and level of funding for each Special Category project will be subject to specific legislative appropriation.</w:t>
      </w:r>
    </w:p>
    <w:p w:rsidR="00374DF1" w:rsidRPr="007018B7" w:rsidRDefault="00374DF1" w:rsidP="00763782">
      <w:pPr>
        <w:rPr>
          <w:sz w:val="20"/>
        </w:rPr>
      </w:pPr>
    </w:p>
    <w:p w:rsidR="00374DF1" w:rsidRPr="007018B7" w:rsidRDefault="00374DF1" w:rsidP="00763782">
      <w:pPr>
        <w:rPr>
          <w:sz w:val="20"/>
        </w:rPr>
      </w:pPr>
      <w:r w:rsidRPr="007018B7">
        <w:rPr>
          <w:b/>
          <w:sz w:val="20"/>
        </w:rPr>
        <w:t>For projects receiving funding</w:t>
      </w:r>
      <w:r w:rsidR="000D512E" w:rsidRPr="007018B7">
        <w:rPr>
          <w:b/>
          <w:sz w:val="20"/>
        </w:rPr>
        <w:t xml:space="preserve"> from the 2018</w:t>
      </w:r>
      <w:r w:rsidR="00B01A14" w:rsidRPr="007018B7">
        <w:rPr>
          <w:b/>
          <w:sz w:val="20"/>
        </w:rPr>
        <w:t xml:space="preserve"> Legislature</w:t>
      </w:r>
      <w:r w:rsidRPr="007018B7">
        <w:rPr>
          <w:b/>
          <w:sz w:val="20"/>
        </w:rPr>
        <w:t>, funds will become available after July 1, 20</w:t>
      </w:r>
      <w:r w:rsidR="003D7A54" w:rsidRPr="007018B7">
        <w:rPr>
          <w:b/>
          <w:sz w:val="20"/>
        </w:rPr>
        <w:t>1</w:t>
      </w:r>
      <w:r w:rsidR="00653BB8" w:rsidRPr="007018B7">
        <w:rPr>
          <w:b/>
          <w:sz w:val="20"/>
        </w:rPr>
        <w:t>8</w:t>
      </w:r>
      <w:r w:rsidRPr="007018B7">
        <w:rPr>
          <w:b/>
          <w:sz w:val="20"/>
        </w:rPr>
        <w:t>,</w:t>
      </w:r>
      <w:r w:rsidR="00B01A14" w:rsidRPr="007018B7">
        <w:rPr>
          <w:b/>
          <w:sz w:val="20"/>
        </w:rPr>
        <w:t xml:space="preserve"> which is</w:t>
      </w:r>
      <w:r w:rsidRPr="007018B7">
        <w:rPr>
          <w:b/>
          <w:sz w:val="20"/>
        </w:rPr>
        <w:t xml:space="preserve"> the beginning of the </w:t>
      </w:r>
      <w:r w:rsidR="00653BB8" w:rsidRPr="007018B7">
        <w:rPr>
          <w:b/>
          <w:sz w:val="20"/>
        </w:rPr>
        <w:t>2018</w:t>
      </w:r>
      <w:r w:rsidR="00787ADC">
        <w:rPr>
          <w:b/>
          <w:sz w:val="20"/>
        </w:rPr>
        <w:t>-2019</w:t>
      </w:r>
      <w:r w:rsidRPr="007018B7">
        <w:rPr>
          <w:b/>
          <w:sz w:val="20"/>
        </w:rPr>
        <w:t xml:space="preserve"> State Fiscal Year.</w:t>
      </w:r>
      <w:r w:rsidRPr="007018B7">
        <w:rPr>
          <w:sz w:val="20"/>
        </w:rPr>
        <w:t xml:space="preserve">  The funds </w:t>
      </w:r>
      <w:r w:rsidR="00BF5570" w:rsidRPr="007018B7">
        <w:rPr>
          <w:sz w:val="20"/>
        </w:rPr>
        <w:t>must</w:t>
      </w:r>
      <w:r w:rsidRPr="007018B7">
        <w:rPr>
          <w:sz w:val="20"/>
        </w:rPr>
        <w:t xml:space="preserve"> be fully obligated</w:t>
      </w:r>
      <w:r w:rsidR="00475683" w:rsidRPr="007018B7">
        <w:rPr>
          <w:sz w:val="20"/>
        </w:rPr>
        <w:t xml:space="preserve"> (under contract)</w:t>
      </w:r>
      <w:r w:rsidRPr="007018B7">
        <w:rPr>
          <w:sz w:val="20"/>
        </w:rPr>
        <w:t xml:space="preserve"> by June 30, 201</w:t>
      </w:r>
      <w:r w:rsidR="00653BB8" w:rsidRPr="007018B7">
        <w:rPr>
          <w:sz w:val="20"/>
        </w:rPr>
        <w:t>9</w:t>
      </w:r>
      <w:r w:rsidRPr="007018B7">
        <w:rPr>
          <w:sz w:val="20"/>
        </w:rPr>
        <w:t>.  Any unexpended balance of grant funds will revert to the state at the end of the 24-month period</w:t>
      </w:r>
      <w:r w:rsidR="00E829CB" w:rsidRPr="007018B7">
        <w:rPr>
          <w:sz w:val="20"/>
        </w:rPr>
        <w:t>,</w:t>
      </w:r>
      <w:r w:rsidR="00653BB8" w:rsidRPr="007018B7">
        <w:rPr>
          <w:sz w:val="20"/>
        </w:rPr>
        <w:t xml:space="preserve"> on June 30, 2020</w:t>
      </w:r>
      <w:r w:rsidRPr="007018B7">
        <w:rPr>
          <w:sz w:val="20"/>
        </w:rPr>
        <w:t>.</w:t>
      </w:r>
    </w:p>
    <w:p w:rsidR="00C21056" w:rsidRPr="007018B7" w:rsidRDefault="00C21056" w:rsidP="00763782">
      <w:pPr>
        <w:rPr>
          <w:b/>
          <w:sz w:val="20"/>
        </w:rPr>
      </w:pPr>
    </w:p>
    <w:p w:rsidR="007A528A" w:rsidRPr="007018B7" w:rsidRDefault="007A528A" w:rsidP="00763782">
      <w:pPr>
        <w:rPr>
          <w:sz w:val="20"/>
          <w:u w:val="single"/>
        </w:rPr>
      </w:pPr>
      <w:r w:rsidRPr="007018B7">
        <w:rPr>
          <w:b/>
          <w:sz w:val="20"/>
          <w:u w:val="single"/>
        </w:rPr>
        <w:t>ADMINISTRATIVE REQUIREMENTS</w:t>
      </w:r>
    </w:p>
    <w:p w:rsidR="007A528A" w:rsidRPr="007018B7" w:rsidRDefault="007A528A" w:rsidP="00763782">
      <w:pPr>
        <w:rPr>
          <w:sz w:val="20"/>
        </w:rPr>
      </w:pPr>
      <w:r w:rsidRPr="007018B7">
        <w:rPr>
          <w:sz w:val="20"/>
        </w:rPr>
        <w:t>To receive grant funds, grantees will be required to sign a Grant Award Agreement containing specific administrative responsibilities.  Grantees</w:t>
      </w:r>
      <w:r w:rsidR="000633C6" w:rsidRPr="007018B7">
        <w:rPr>
          <w:sz w:val="20"/>
        </w:rPr>
        <w:t xml:space="preserve"> with </w:t>
      </w:r>
      <w:r w:rsidR="0088677F" w:rsidRPr="007018B7">
        <w:rPr>
          <w:sz w:val="20"/>
        </w:rPr>
        <w:t xml:space="preserve">Special Category grant projects involving acquisition or development activities </w:t>
      </w:r>
      <w:r w:rsidRPr="007018B7">
        <w:rPr>
          <w:sz w:val="20"/>
        </w:rPr>
        <w:t xml:space="preserve">will also be required to execute </w:t>
      </w:r>
      <w:r w:rsidR="00F4213C" w:rsidRPr="007018B7">
        <w:rPr>
          <w:b/>
          <w:sz w:val="20"/>
        </w:rPr>
        <w:t>R</w:t>
      </w:r>
      <w:r w:rsidRPr="007018B7">
        <w:rPr>
          <w:b/>
          <w:sz w:val="20"/>
        </w:rPr>
        <w:t xml:space="preserve">estrictive </w:t>
      </w:r>
      <w:r w:rsidR="00F4213C" w:rsidRPr="007018B7">
        <w:rPr>
          <w:b/>
          <w:sz w:val="20"/>
        </w:rPr>
        <w:t>C</w:t>
      </w:r>
      <w:r w:rsidRPr="007018B7">
        <w:rPr>
          <w:b/>
          <w:sz w:val="20"/>
        </w:rPr>
        <w:t>ovenant</w:t>
      </w:r>
      <w:r w:rsidR="00B01A14" w:rsidRPr="007018B7">
        <w:rPr>
          <w:b/>
          <w:sz w:val="20"/>
        </w:rPr>
        <w:t>s</w:t>
      </w:r>
      <w:r w:rsidRPr="007018B7">
        <w:rPr>
          <w:b/>
          <w:sz w:val="20"/>
        </w:rPr>
        <w:t xml:space="preserve"> </w:t>
      </w:r>
      <w:r w:rsidRPr="007018B7">
        <w:rPr>
          <w:sz w:val="20"/>
        </w:rPr>
        <w:t>that must be recorded with the property deed by the Clerk of Circuit Court in the county where the property is located</w:t>
      </w:r>
      <w:r w:rsidR="0088677F" w:rsidRPr="007018B7">
        <w:rPr>
          <w:sz w:val="20"/>
        </w:rPr>
        <w:t xml:space="preserve"> prior to the release of the grant funds</w:t>
      </w:r>
      <w:r w:rsidRPr="007018B7">
        <w:rPr>
          <w:sz w:val="20"/>
        </w:rPr>
        <w:t xml:space="preserve">.  </w:t>
      </w:r>
      <w:r w:rsidR="00B01A14" w:rsidRPr="007018B7">
        <w:rPr>
          <w:sz w:val="20"/>
        </w:rPr>
        <w:t>These</w:t>
      </w:r>
      <w:r w:rsidRPr="007018B7">
        <w:rPr>
          <w:sz w:val="20"/>
        </w:rPr>
        <w:t xml:space="preserve"> covenant</w:t>
      </w:r>
      <w:r w:rsidR="00B01A14" w:rsidRPr="007018B7">
        <w:rPr>
          <w:sz w:val="20"/>
        </w:rPr>
        <w:t>s</w:t>
      </w:r>
      <w:r w:rsidRPr="007018B7">
        <w:rPr>
          <w:sz w:val="20"/>
        </w:rPr>
        <w:t xml:space="preserve"> require that, in exchange for state grant funds, the grantee will not undertake modifications to the property (other than routine repairs and maintenance) for a period of </w:t>
      </w:r>
      <w:r w:rsidR="00653BB8" w:rsidRPr="007018B7">
        <w:rPr>
          <w:sz w:val="20"/>
        </w:rPr>
        <w:t>10</w:t>
      </w:r>
      <w:r w:rsidRPr="007018B7">
        <w:rPr>
          <w:sz w:val="20"/>
        </w:rPr>
        <w:t xml:space="preserve"> years</w:t>
      </w:r>
      <w:r w:rsidR="000633C6" w:rsidRPr="007018B7">
        <w:rPr>
          <w:sz w:val="20"/>
        </w:rPr>
        <w:t>,</w:t>
      </w:r>
      <w:r w:rsidRPr="007018B7">
        <w:rPr>
          <w:sz w:val="20"/>
        </w:rPr>
        <w:t xml:space="preserve"> </w:t>
      </w:r>
      <w:r w:rsidR="000633C6" w:rsidRPr="007018B7">
        <w:rPr>
          <w:sz w:val="20"/>
        </w:rPr>
        <w:t xml:space="preserve">or 20 years in the case of acquisition, </w:t>
      </w:r>
      <w:r w:rsidRPr="007018B7">
        <w:rPr>
          <w:sz w:val="20"/>
        </w:rPr>
        <w:t xml:space="preserve">without review and approval of plans and specifications by the </w:t>
      </w:r>
      <w:r w:rsidR="00B01A14" w:rsidRPr="007018B7">
        <w:rPr>
          <w:sz w:val="20"/>
        </w:rPr>
        <w:t>D</w:t>
      </w:r>
      <w:r w:rsidR="00230645" w:rsidRPr="007018B7">
        <w:rPr>
          <w:sz w:val="20"/>
        </w:rPr>
        <w:t>ivision</w:t>
      </w:r>
      <w:r w:rsidRPr="007018B7">
        <w:rPr>
          <w:sz w:val="20"/>
        </w:rPr>
        <w:t xml:space="preserve">. </w:t>
      </w:r>
      <w:r w:rsidRPr="007018B7">
        <w:rPr>
          <w:b/>
          <w:sz w:val="20"/>
        </w:rPr>
        <w:t xml:space="preserve"> </w:t>
      </w:r>
      <w:r w:rsidRPr="007018B7">
        <w:rPr>
          <w:sz w:val="20"/>
        </w:rPr>
        <w:t xml:space="preserve">Additional information regarding these covenants is available from the </w:t>
      </w:r>
      <w:r w:rsidR="000633C6" w:rsidRPr="007018B7">
        <w:rPr>
          <w:sz w:val="20"/>
        </w:rPr>
        <w:t>Division upon</w:t>
      </w:r>
      <w:r w:rsidRPr="007018B7">
        <w:rPr>
          <w:sz w:val="20"/>
        </w:rPr>
        <w:t xml:space="preserve"> request.</w:t>
      </w:r>
    </w:p>
    <w:p w:rsidR="00B03508" w:rsidRPr="007018B7" w:rsidRDefault="00B03508" w:rsidP="00763782">
      <w:pPr>
        <w:rPr>
          <w:sz w:val="20"/>
        </w:rPr>
      </w:pPr>
    </w:p>
    <w:p w:rsidR="00B03508" w:rsidRPr="007018B7" w:rsidRDefault="00B03508" w:rsidP="00763782">
      <w:pPr>
        <w:rPr>
          <w:sz w:val="20"/>
        </w:rPr>
      </w:pPr>
      <w:r w:rsidRPr="007018B7">
        <w:rPr>
          <w:sz w:val="20"/>
        </w:rPr>
        <w:t xml:space="preserve">For </w:t>
      </w:r>
      <w:r w:rsidR="0088677F" w:rsidRPr="007018B7">
        <w:rPr>
          <w:sz w:val="20"/>
        </w:rPr>
        <w:t xml:space="preserve">Special Category grant </w:t>
      </w:r>
      <w:r w:rsidRPr="007018B7">
        <w:rPr>
          <w:sz w:val="20"/>
        </w:rPr>
        <w:t>projects involving properties other than real property (e.g. aircraft, locomotive</w:t>
      </w:r>
      <w:r w:rsidR="00EE0C2E" w:rsidRPr="007018B7">
        <w:rPr>
          <w:sz w:val="20"/>
        </w:rPr>
        <w:t>,</w:t>
      </w:r>
      <w:r w:rsidR="008D1016">
        <w:rPr>
          <w:sz w:val="20"/>
        </w:rPr>
        <w:t xml:space="preserve"> trolley,</w:t>
      </w:r>
      <w:r w:rsidR="0088677F" w:rsidRPr="007018B7">
        <w:rPr>
          <w:sz w:val="20"/>
        </w:rPr>
        <w:t xml:space="preserve"> or marine vessel), </w:t>
      </w:r>
      <w:r w:rsidRPr="007018B7">
        <w:rPr>
          <w:sz w:val="20"/>
        </w:rPr>
        <w:t xml:space="preserve">grantee </w:t>
      </w:r>
      <w:r w:rsidR="0088677F" w:rsidRPr="007018B7">
        <w:rPr>
          <w:sz w:val="20"/>
        </w:rPr>
        <w:t>shall execute and notarize a</w:t>
      </w:r>
      <w:r w:rsidRPr="007018B7">
        <w:rPr>
          <w:sz w:val="20"/>
        </w:rPr>
        <w:t xml:space="preserve"> </w:t>
      </w:r>
      <w:r w:rsidRPr="007018B7">
        <w:rPr>
          <w:b/>
          <w:sz w:val="20"/>
        </w:rPr>
        <w:t>Preservation Agreement</w:t>
      </w:r>
      <w:r w:rsidRPr="007018B7">
        <w:rPr>
          <w:sz w:val="20"/>
        </w:rPr>
        <w:t xml:space="preserve"> in which the grantee and property owner shall commit to assuming the cost of maintenance and repair of the property, permit no alterations without prior permission from </w:t>
      </w:r>
      <w:r w:rsidR="00230645" w:rsidRPr="007018B7">
        <w:rPr>
          <w:sz w:val="20"/>
        </w:rPr>
        <w:t>the Division</w:t>
      </w:r>
      <w:r w:rsidRPr="007018B7">
        <w:rPr>
          <w:sz w:val="20"/>
        </w:rPr>
        <w:t>,</w:t>
      </w:r>
      <w:r w:rsidR="00F4213C" w:rsidRPr="007018B7">
        <w:rPr>
          <w:sz w:val="20"/>
        </w:rPr>
        <w:t xml:space="preserve"> and</w:t>
      </w:r>
      <w:r w:rsidRPr="007018B7">
        <w:rPr>
          <w:sz w:val="20"/>
        </w:rPr>
        <w:t xml:space="preserve"> allow the inspection of the property by </w:t>
      </w:r>
      <w:r w:rsidR="00230645" w:rsidRPr="007018B7">
        <w:rPr>
          <w:sz w:val="20"/>
        </w:rPr>
        <w:t>the Division</w:t>
      </w:r>
      <w:r w:rsidR="00653BB8" w:rsidRPr="007018B7">
        <w:rPr>
          <w:sz w:val="20"/>
        </w:rPr>
        <w:t xml:space="preserve"> for a period of 10</w:t>
      </w:r>
      <w:r w:rsidRPr="007018B7">
        <w:rPr>
          <w:sz w:val="20"/>
        </w:rPr>
        <w:t xml:space="preserve"> years.</w:t>
      </w:r>
      <w:r w:rsidR="00F4213C" w:rsidRPr="007018B7">
        <w:rPr>
          <w:sz w:val="20"/>
        </w:rPr>
        <w:t xml:space="preserve">  Detailed information about</w:t>
      </w:r>
      <w:r w:rsidR="00B01A14" w:rsidRPr="007018B7">
        <w:rPr>
          <w:sz w:val="20"/>
        </w:rPr>
        <w:t xml:space="preserve"> the Preservation Agreement</w:t>
      </w:r>
      <w:r w:rsidR="00F4213C" w:rsidRPr="007018B7">
        <w:rPr>
          <w:sz w:val="20"/>
        </w:rPr>
        <w:t xml:space="preserve"> is available from the </w:t>
      </w:r>
      <w:r w:rsidR="000633C6" w:rsidRPr="007018B7">
        <w:rPr>
          <w:sz w:val="20"/>
        </w:rPr>
        <w:t>D</w:t>
      </w:r>
      <w:bookmarkStart w:id="0" w:name="_GoBack"/>
      <w:bookmarkEnd w:id="0"/>
      <w:r w:rsidR="000633C6" w:rsidRPr="007018B7">
        <w:rPr>
          <w:sz w:val="20"/>
        </w:rPr>
        <w:t>ivision</w:t>
      </w:r>
      <w:r w:rsidR="00F4213C" w:rsidRPr="007018B7">
        <w:rPr>
          <w:sz w:val="20"/>
        </w:rPr>
        <w:t xml:space="preserve"> </w:t>
      </w:r>
      <w:r w:rsidR="00230645" w:rsidRPr="007018B7">
        <w:rPr>
          <w:sz w:val="20"/>
        </w:rPr>
        <w:t>up</w:t>
      </w:r>
      <w:r w:rsidR="00F4213C" w:rsidRPr="007018B7">
        <w:rPr>
          <w:sz w:val="20"/>
        </w:rPr>
        <w:t>on request.</w:t>
      </w:r>
    </w:p>
    <w:p w:rsidR="00B01A14" w:rsidRPr="007018B7" w:rsidRDefault="00B01A14" w:rsidP="00763782">
      <w:pPr>
        <w:rPr>
          <w:b/>
          <w:sz w:val="20"/>
          <w:u w:val="single"/>
        </w:rPr>
      </w:pPr>
    </w:p>
    <w:p w:rsidR="007A528A" w:rsidRPr="007018B7" w:rsidRDefault="007A528A" w:rsidP="00763782">
      <w:pPr>
        <w:rPr>
          <w:b/>
          <w:sz w:val="20"/>
          <w:u w:val="single"/>
        </w:rPr>
      </w:pPr>
      <w:r w:rsidRPr="007018B7">
        <w:rPr>
          <w:b/>
          <w:sz w:val="20"/>
          <w:u w:val="single"/>
        </w:rPr>
        <w:t>ADDITIONAL INFORMATION</w:t>
      </w:r>
    </w:p>
    <w:p w:rsidR="005B3327" w:rsidRDefault="007A528A" w:rsidP="00F34A8B">
      <w:pPr>
        <w:rPr>
          <w:sz w:val="20"/>
        </w:rPr>
      </w:pPr>
      <w:r w:rsidRPr="007018B7">
        <w:rPr>
          <w:sz w:val="20"/>
        </w:rPr>
        <w:t>If you have any questions regarding proposed projects or the online</w:t>
      </w:r>
      <w:r w:rsidR="000633C6" w:rsidRPr="007018B7">
        <w:rPr>
          <w:sz w:val="20"/>
        </w:rPr>
        <w:t xml:space="preserve"> application form</w:t>
      </w:r>
      <w:r w:rsidRPr="007018B7">
        <w:rPr>
          <w:sz w:val="20"/>
        </w:rPr>
        <w:t xml:space="preserve">, please call </w:t>
      </w:r>
      <w:r w:rsidR="000633C6" w:rsidRPr="007018B7">
        <w:rPr>
          <w:sz w:val="20"/>
        </w:rPr>
        <w:t xml:space="preserve">the </w:t>
      </w:r>
      <w:r w:rsidR="00653BB8" w:rsidRPr="007018B7">
        <w:rPr>
          <w:sz w:val="20"/>
        </w:rPr>
        <w:t xml:space="preserve">Historic Preservation Grants Program, </w:t>
      </w:r>
      <w:r w:rsidR="000633C6" w:rsidRPr="007018B7">
        <w:rPr>
          <w:sz w:val="20"/>
        </w:rPr>
        <w:t>Division of Historical Resources</w:t>
      </w:r>
      <w:r w:rsidR="00787ADC">
        <w:rPr>
          <w:sz w:val="20"/>
        </w:rPr>
        <w:t>,</w:t>
      </w:r>
      <w:r w:rsidR="000B0A82" w:rsidRPr="007018B7">
        <w:rPr>
          <w:sz w:val="20"/>
        </w:rPr>
        <w:t xml:space="preserve"> at </w:t>
      </w:r>
      <w:r w:rsidRPr="007018B7">
        <w:rPr>
          <w:sz w:val="20"/>
        </w:rPr>
        <w:t>800.847.</w:t>
      </w:r>
      <w:r w:rsidR="006F11A5" w:rsidRPr="007018B7">
        <w:rPr>
          <w:sz w:val="20"/>
        </w:rPr>
        <w:t>7278</w:t>
      </w:r>
      <w:r w:rsidRPr="007018B7">
        <w:rPr>
          <w:sz w:val="20"/>
        </w:rPr>
        <w:t xml:space="preserve"> or 850.245.6333</w:t>
      </w:r>
      <w:r w:rsidR="00653BB8" w:rsidRPr="007018B7">
        <w:rPr>
          <w:sz w:val="20"/>
        </w:rPr>
        <w:t xml:space="preserve"> or email at </w:t>
      </w:r>
      <w:hyperlink r:id="rId8" w:history="1">
        <w:r w:rsidR="00653BB8" w:rsidRPr="006B1B23">
          <w:rPr>
            <w:rStyle w:val="Hyperlink"/>
            <w:sz w:val="20"/>
          </w:rPr>
          <w:t>BHPgrants@dos.myflorida.com</w:t>
        </w:r>
      </w:hyperlink>
      <w:r w:rsidRPr="007A528A">
        <w:rPr>
          <w:sz w:val="20"/>
        </w:rPr>
        <w:t xml:space="preserve">.  </w:t>
      </w:r>
    </w:p>
    <w:sectPr w:rsidR="005B3327" w:rsidSect="00BD11C5">
      <w:headerReference w:type="default" r:id="rId9"/>
      <w:footerReference w:type="default" r:id="rId10"/>
      <w:headerReference w:type="first" r:id="rId11"/>
      <w:footerReference w:type="first" r:id="rId12"/>
      <w:pgSz w:w="12240" w:h="15840" w:code="1"/>
      <w:pgMar w:top="720" w:right="1440" w:bottom="1260" w:left="1440" w:header="547" w:footer="54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ACB" w:rsidRDefault="005F3ACB">
      <w:r>
        <w:separator/>
      </w:r>
    </w:p>
  </w:endnote>
  <w:endnote w:type="continuationSeparator" w:id="0">
    <w:p w:rsidR="005F3ACB" w:rsidRDefault="005F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EE1" w:rsidRDefault="00DB4EE1">
    <w:pPr>
      <w:pStyle w:val="Footer"/>
      <w:jc w:val="center"/>
    </w:pPr>
    <w:r>
      <w:fldChar w:fldCharType="begin"/>
    </w:r>
    <w:r>
      <w:instrText xml:space="preserve"> PAGE   \* MERGEFORMAT </w:instrText>
    </w:r>
    <w:r>
      <w:fldChar w:fldCharType="separate"/>
    </w:r>
    <w:r w:rsidR="008D1016">
      <w:rPr>
        <w:noProof/>
      </w:rPr>
      <w:t>3</w:t>
    </w:r>
    <w:r>
      <w:fldChar w:fldCharType="end"/>
    </w:r>
  </w:p>
  <w:p w:rsidR="00DB4EE1" w:rsidRDefault="00DB4EE1">
    <w:pPr>
      <w:pStyle w:val="Foote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EE1" w:rsidRDefault="00DB4EE1" w:rsidP="009430B7">
    <w:pPr>
      <w:jc w:val="center"/>
      <w:rPr>
        <w:b/>
        <w:bCs/>
        <w:sz w:val="20"/>
      </w:rPr>
    </w:pPr>
    <w:r>
      <w:rPr>
        <w:b/>
        <w:bCs/>
        <w:sz w:val="20"/>
      </w:rPr>
      <w:t xml:space="preserve">500 S. Bronough Street  </w:t>
    </w:r>
    <w:r>
      <w:rPr>
        <w:b/>
        <w:bCs/>
        <w:sz w:val="16"/>
        <w:szCs w:val="16"/>
      </w:rPr>
      <w:sym w:font="Symbol" w:char="F0B7"/>
    </w:r>
    <w:r>
      <w:rPr>
        <w:b/>
        <w:bCs/>
        <w:sz w:val="20"/>
      </w:rPr>
      <w:t xml:space="preserve">  Tallahassee, FL 32399-0250  </w:t>
    </w:r>
    <w:r>
      <w:rPr>
        <w:b/>
        <w:bCs/>
        <w:sz w:val="16"/>
        <w:szCs w:val="16"/>
      </w:rPr>
      <w:sym w:font="Symbol" w:char="F0B7"/>
    </w:r>
    <w:r>
      <w:rPr>
        <w:b/>
        <w:bCs/>
        <w:sz w:val="20"/>
      </w:rPr>
      <w:t xml:space="preserve">  http://www.flheritage.com</w:t>
    </w:r>
  </w:p>
  <w:p w:rsidR="00DB4EE1" w:rsidRDefault="00DB4EE1" w:rsidP="009430B7">
    <w:pPr>
      <w:spacing w:line="120" w:lineRule="exact"/>
      <w:jc w:val="center"/>
      <w:rPr>
        <w:sz w:val="20"/>
      </w:rPr>
    </w:pPr>
  </w:p>
  <w:tbl>
    <w:tblPr>
      <w:tblW w:w="0" w:type="auto"/>
      <w:jc w:val="center"/>
      <w:tblLayout w:type="fixed"/>
      <w:tblCellMar>
        <w:left w:w="0" w:type="dxa"/>
        <w:right w:w="0" w:type="dxa"/>
      </w:tblCellMar>
      <w:tblLook w:val="0000" w:firstRow="0" w:lastRow="0" w:firstColumn="0" w:lastColumn="0" w:noHBand="0" w:noVBand="0"/>
    </w:tblPr>
    <w:tblGrid>
      <w:gridCol w:w="12150"/>
    </w:tblGrid>
    <w:tr w:rsidR="00DB4EE1" w:rsidTr="00C1200A">
      <w:trPr>
        <w:cantSplit/>
        <w:jc w:val="center"/>
      </w:trPr>
      <w:tc>
        <w:tcPr>
          <w:tcW w:w="12150" w:type="dxa"/>
          <w:vAlign w:val="center"/>
        </w:tcPr>
        <w:p w:rsidR="00DB4EE1" w:rsidRDefault="00DB4EE1" w:rsidP="00C1200A">
          <w:pPr>
            <w:pStyle w:val="Footer"/>
            <w:jc w:val="center"/>
            <w:rPr>
              <w:rFonts w:ascii="Palatino" w:hAnsi="Palatino" w:cs="Palatino"/>
              <w:b/>
              <w:bCs/>
              <w:sz w:val="16"/>
              <w:szCs w:val="16"/>
            </w:rPr>
          </w:pPr>
          <w:r>
            <w:rPr>
              <w:rFonts w:ascii="Palatino" w:hAnsi="Palatino" w:cs="Palatino"/>
              <w:b/>
              <w:bCs/>
              <w:sz w:val="16"/>
              <w:szCs w:val="16"/>
            </w:rPr>
            <w:sym w:font="Wingdings" w:char="F072"/>
          </w:r>
          <w:r>
            <w:rPr>
              <w:rFonts w:ascii="Palatino" w:hAnsi="Palatino" w:cs="Palatino"/>
              <w:b/>
              <w:bCs/>
              <w:sz w:val="16"/>
              <w:szCs w:val="16"/>
            </w:rPr>
            <w:t xml:space="preserve"> Director’s Office                         </w:t>
          </w:r>
          <w:r>
            <w:rPr>
              <w:rFonts w:ascii="Palatino" w:hAnsi="Palatino" w:cs="Palatino"/>
              <w:b/>
              <w:bCs/>
              <w:sz w:val="16"/>
              <w:szCs w:val="16"/>
            </w:rPr>
            <w:sym w:font="Wingdings" w:char="F072"/>
          </w:r>
          <w:r>
            <w:rPr>
              <w:rFonts w:ascii="Palatino" w:hAnsi="Palatino" w:cs="Palatino"/>
              <w:b/>
              <w:bCs/>
              <w:sz w:val="16"/>
              <w:szCs w:val="16"/>
            </w:rPr>
            <w:t xml:space="preserve"> Archaeological Research                         </w:t>
          </w:r>
          <w:r>
            <w:rPr>
              <w:rFonts w:ascii="Palatino" w:hAnsi="Palatino" w:cs="Palatino"/>
              <w:b/>
              <w:bCs/>
              <w:sz w:val="16"/>
              <w:szCs w:val="16"/>
            </w:rPr>
            <w:sym w:font="Wingdings" w:char="F072"/>
          </w:r>
          <w:r>
            <w:rPr>
              <w:rFonts w:ascii="Palatino" w:hAnsi="Palatino" w:cs="Palatino"/>
              <w:b/>
              <w:bCs/>
              <w:sz w:val="16"/>
              <w:szCs w:val="16"/>
            </w:rPr>
            <w:t xml:space="preserve"> Historic Preservation                       </w:t>
          </w:r>
        </w:p>
        <w:p w:rsidR="00DB4EE1" w:rsidRDefault="00DB4EE1" w:rsidP="00C1200A">
          <w:pPr>
            <w:pStyle w:val="Footer"/>
            <w:jc w:val="center"/>
            <w:rPr>
              <w:rFonts w:ascii="Palatino" w:hAnsi="Palatino" w:cs="Palatino"/>
              <w:b/>
              <w:bCs/>
              <w:sz w:val="16"/>
              <w:szCs w:val="16"/>
            </w:rPr>
          </w:pPr>
          <w:r>
            <w:rPr>
              <w:rFonts w:ascii="Palatino" w:hAnsi="Palatino" w:cs="Palatino"/>
              <w:sz w:val="16"/>
              <w:szCs w:val="16"/>
            </w:rPr>
            <w:t xml:space="preserve">(850) 245-6300 </w:t>
          </w:r>
          <w:r>
            <w:rPr>
              <w:rFonts w:ascii="Palatino" w:hAnsi="Palatino" w:cs="Palatino"/>
              <w:sz w:val="16"/>
              <w:szCs w:val="16"/>
            </w:rPr>
            <w:sym w:font="Wingdings" w:char="F09F"/>
          </w:r>
          <w:r>
            <w:rPr>
              <w:rFonts w:ascii="Palatino" w:hAnsi="Palatino" w:cs="Palatino"/>
              <w:sz w:val="16"/>
              <w:szCs w:val="16"/>
            </w:rPr>
            <w:t xml:space="preserve"> FAX: 245-6436            (850) 245-6444 </w:t>
          </w:r>
          <w:r>
            <w:rPr>
              <w:rFonts w:ascii="Palatino" w:hAnsi="Palatino" w:cs="Palatino"/>
              <w:sz w:val="16"/>
              <w:szCs w:val="16"/>
            </w:rPr>
            <w:sym w:font="Wingdings" w:char="F09F"/>
          </w:r>
          <w:r>
            <w:rPr>
              <w:rFonts w:ascii="Palatino" w:hAnsi="Palatino" w:cs="Palatino"/>
              <w:sz w:val="16"/>
              <w:szCs w:val="16"/>
            </w:rPr>
            <w:t xml:space="preserve"> FAX: 245-6452                 (850) 245-6333 </w:t>
          </w:r>
          <w:r>
            <w:rPr>
              <w:rFonts w:ascii="Palatino" w:hAnsi="Palatino" w:cs="Palatino"/>
              <w:sz w:val="16"/>
              <w:szCs w:val="16"/>
            </w:rPr>
            <w:sym w:font="Wingdings" w:char="F09F"/>
          </w:r>
          <w:r>
            <w:rPr>
              <w:rFonts w:ascii="Palatino" w:hAnsi="Palatino" w:cs="Palatino"/>
              <w:sz w:val="16"/>
              <w:szCs w:val="16"/>
            </w:rPr>
            <w:t xml:space="preserve"> FAX: 245-6437 </w:t>
          </w:r>
        </w:p>
      </w:tc>
    </w:tr>
  </w:tbl>
  <w:p w:rsidR="00DB4EE1" w:rsidRDefault="00DB4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ACB" w:rsidRDefault="005F3ACB">
      <w:r>
        <w:separator/>
      </w:r>
    </w:p>
  </w:footnote>
  <w:footnote w:type="continuationSeparator" w:id="0">
    <w:p w:rsidR="005F3ACB" w:rsidRDefault="005F3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EE1" w:rsidRDefault="00DB4EE1">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EE1" w:rsidRDefault="00EE0C2E">
    <w:pPr>
      <w:jc w:val="center"/>
      <w:rPr>
        <w:rFonts w:ascii="Palatino" w:hAnsi="Palatino" w:cs="Palatino"/>
      </w:rPr>
    </w:pPr>
    <w:r w:rsidRPr="00381A96">
      <w:rPr>
        <w:rFonts w:ascii="Palatino" w:hAnsi="Palatino" w:cs="Palatino"/>
        <w:noProof/>
        <w:sz w:val="20"/>
      </w:rPr>
      <w:drawing>
        <wp:inline distT="0" distB="0" distL="0" distR="0">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DB4EE1" w:rsidRDefault="00DB4EE1">
    <w:pPr>
      <w:jc w:val="center"/>
      <w:rPr>
        <w:rFonts w:ascii="Palatino" w:hAnsi="Palatino" w:cs="Palatino"/>
      </w:rPr>
    </w:pPr>
    <w:r>
      <w:rPr>
        <w:rFonts w:ascii="Palatino" w:hAnsi="Palatino" w:cs="Palatino"/>
      </w:rPr>
      <w:t>FLORIDA DEPARTMENT OF STATE</w:t>
    </w:r>
  </w:p>
  <w:p w:rsidR="00DB4EE1" w:rsidRDefault="00DB4EE1">
    <w:pPr>
      <w:jc w:val="center"/>
      <w:rPr>
        <w:rFonts w:ascii="Palatino" w:hAnsi="Palatino" w:cs="Palatino"/>
      </w:rPr>
    </w:pPr>
    <w:r>
      <w:rPr>
        <w:rFonts w:ascii="Palatino" w:hAnsi="Palatino" w:cs="Palatino"/>
        <w:b/>
        <w:bCs/>
      </w:rPr>
      <w:t>Kurt S. Browning</w:t>
    </w:r>
  </w:p>
  <w:p w:rsidR="00DB4EE1" w:rsidRDefault="00DB4EE1">
    <w:pPr>
      <w:jc w:val="center"/>
      <w:rPr>
        <w:rFonts w:ascii="Palatino" w:hAnsi="Palatino" w:cs="Palatino"/>
        <w:sz w:val="20"/>
      </w:rPr>
    </w:pPr>
    <w:r>
      <w:rPr>
        <w:rFonts w:ascii="Palatino" w:hAnsi="Palatino" w:cs="Palatino"/>
        <w:sz w:val="20"/>
      </w:rPr>
      <w:t>Secretary of State</w:t>
    </w:r>
  </w:p>
  <w:p w:rsidR="00DB4EE1" w:rsidRDefault="00DB4EE1">
    <w:pPr>
      <w:jc w:val="center"/>
      <w:rPr>
        <w:rFonts w:ascii="Palatino" w:hAnsi="Palatino" w:cs="Palatino"/>
      </w:rPr>
    </w:pPr>
    <w:r>
      <w:rPr>
        <w:rFonts w:ascii="Palatino" w:hAnsi="Palatino" w:cs="Palatino"/>
        <w:sz w:val="20"/>
      </w:rPr>
      <w:t>DIVISION OF HISTORICAL RESOURCES</w:t>
    </w:r>
  </w:p>
  <w:p w:rsidR="00DB4EE1" w:rsidRDefault="00DB4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86250"/>
    <w:multiLevelType w:val="hybridMultilevel"/>
    <w:tmpl w:val="B194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B2B3A"/>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635E5DEC"/>
    <w:multiLevelType w:val="hybridMultilevel"/>
    <w:tmpl w:val="085C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032911"/>
    <w:multiLevelType w:val="hybridMultilevel"/>
    <w:tmpl w:val="5568F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2D7247"/>
    <w:multiLevelType w:val="hybridMultilevel"/>
    <w:tmpl w:val="ACB2A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F27140"/>
    <w:multiLevelType w:val="hybridMultilevel"/>
    <w:tmpl w:val="EF984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25"/>
    <w:rsid w:val="00036A7F"/>
    <w:rsid w:val="00045137"/>
    <w:rsid w:val="000633C6"/>
    <w:rsid w:val="000662EC"/>
    <w:rsid w:val="00075A2C"/>
    <w:rsid w:val="000779DD"/>
    <w:rsid w:val="000A310F"/>
    <w:rsid w:val="000B0A82"/>
    <w:rsid w:val="000C4053"/>
    <w:rsid w:val="000D512E"/>
    <w:rsid w:val="000E35AF"/>
    <w:rsid w:val="001232D1"/>
    <w:rsid w:val="00164D2B"/>
    <w:rsid w:val="0017609B"/>
    <w:rsid w:val="001A2DB9"/>
    <w:rsid w:val="001A66F1"/>
    <w:rsid w:val="001D7D30"/>
    <w:rsid w:val="001F60A7"/>
    <w:rsid w:val="001F76E4"/>
    <w:rsid w:val="00210C20"/>
    <w:rsid w:val="002156F9"/>
    <w:rsid w:val="00220F95"/>
    <w:rsid w:val="00227F38"/>
    <w:rsid w:val="00230645"/>
    <w:rsid w:val="002328B5"/>
    <w:rsid w:val="0024192F"/>
    <w:rsid w:val="002451AA"/>
    <w:rsid w:val="00250224"/>
    <w:rsid w:val="00264E4F"/>
    <w:rsid w:val="00287E15"/>
    <w:rsid w:val="002A3BB4"/>
    <w:rsid w:val="002B5A55"/>
    <w:rsid w:val="002D2B91"/>
    <w:rsid w:val="002D5C35"/>
    <w:rsid w:val="002E0889"/>
    <w:rsid w:val="00304C0A"/>
    <w:rsid w:val="0030590F"/>
    <w:rsid w:val="00305DD4"/>
    <w:rsid w:val="00313CCC"/>
    <w:rsid w:val="00345DB9"/>
    <w:rsid w:val="0036216D"/>
    <w:rsid w:val="003649D6"/>
    <w:rsid w:val="003678FE"/>
    <w:rsid w:val="00374DF1"/>
    <w:rsid w:val="00384C21"/>
    <w:rsid w:val="00394D8F"/>
    <w:rsid w:val="003B625B"/>
    <w:rsid w:val="003D7A54"/>
    <w:rsid w:val="003E2CCA"/>
    <w:rsid w:val="003F3A77"/>
    <w:rsid w:val="00405A1E"/>
    <w:rsid w:val="00475683"/>
    <w:rsid w:val="004A4246"/>
    <w:rsid w:val="004C5852"/>
    <w:rsid w:val="004E2A6A"/>
    <w:rsid w:val="004F26FC"/>
    <w:rsid w:val="005508F7"/>
    <w:rsid w:val="005712B5"/>
    <w:rsid w:val="00573CE2"/>
    <w:rsid w:val="005A2190"/>
    <w:rsid w:val="005A39DD"/>
    <w:rsid w:val="005B3327"/>
    <w:rsid w:val="005E6AE3"/>
    <w:rsid w:val="005F3ACB"/>
    <w:rsid w:val="00600D99"/>
    <w:rsid w:val="00615B1A"/>
    <w:rsid w:val="006226D1"/>
    <w:rsid w:val="00622FF3"/>
    <w:rsid w:val="006402B4"/>
    <w:rsid w:val="006529FB"/>
    <w:rsid w:val="00653BB8"/>
    <w:rsid w:val="006757E5"/>
    <w:rsid w:val="006A4336"/>
    <w:rsid w:val="006C2A81"/>
    <w:rsid w:val="006F11A5"/>
    <w:rsid w:val="006F3C9C"/>
    <w:rsid w:val="007018B7"/>
    <w:rsid w:val="0073077A"/>
    <w:rsid w:val="00734371"/>
    <w:rsid w:val="007523B0"/>
    <w:rsid w:val="00763782"/>
    <w:rsid w:val="00764552"/>
    <w:rsid w:val="00776F93"/>
    <w:rsid w:val="00780A35"/>
    <w:rsid w:val="00787ADC"/>
    <w:rsid w:val="007A528A"/>
    <w:rsid w:val="007B0C95"/>
    <w:rsid w:val="007B2EC2"/>
    <w:rsid w:val="007B4FD3"/>
    <w:rsid w:val="007D2EFA"/>
    <w:rsid w:val="00801AF0"/>
    <w:rsid w:val="0080477A"/>
    <w:rsid w:val="00806EBD"/>
    <w:rsid w:val="008176C9"/>
    <w:rsid w:val="00817712"/>
    <w:rsid w:val="0083343D"/>
    <w:rsid w:val="00850E54"/>
    <w:rsid w:val="00870FBC"/>
    <w:rsid w:val="0088677F"/>
    <w:rsid w:val="00897805"/>
    <w:rsid w:val="008A2AC5"/>
    <w:rsid w:val="008C0AA7"/>
    <w:rsid w:val="008D0A92"/>
    <w:rsid w:val="008D1016"/>
    <w:rsid w:val="008E6E56"/>
    <w:rsid w:val="008F4B76"/>
    <w:rsid w:val="0090234D"/>
    <w:rsid w:val="00903543"/>
    <w:rsid w:val="009409C3"/>
    <w:rsid w:val="009430B7"/>
    <w:rsid w:val="00953AA1"/>
    <w:rsid w:val="009561E7"/>
    <w:rsid w:val="00956E51"/>
    <w:rsid w:val="00974CF9"/>
    <w:rsid w:val="009871E6"/>
    <w:rsid w:val="0099695B"/>
    <w:rsid w:val="009B0685"/>
    <w:rsid w:val="009F783B"/>
    <w:rsid w:val="00A06B09"/>
    <w:rsid w:val="00A35DB5"/>
    <w:rsid w:val="00A53C87"/>
    <w:rsid w:val="00A61E07"/>
    <w:rsid w:val="00A94A3A"/>
    <w:rsid w:val="00AA2140"/>
    <w:rsid w:val="00AB3037"/>
    <w:rsid w:val="00AC45D8"/>
    <w:rsid w:val="00AD1D78"/>
    <w:rsid w:val="00AD6726"/>
    <w:rsid w:val="00AD67A5"/>
    <w:rsid w:val="00B01A14"/>
    <w:rsid w:val="00B03508"/>
    <w:rsid w:val="00B12E29"/>
    <w:rsid w:val="00B363C3"/>
    <w:rsid w:val="00B46E9C"/>
    <w:rsid w:val="00B92B53"/>
    <w:rsid w:val="00BA70F3"/>
    <w:rsid w:val="00BB053F"/>
    <w:rsid w:val="00BD11C5"/>
    <w:rsid w:val="00BF5570"/>
    <w:rsid w:val="00C1200A"/>
    <w:rsid w:val="00C140D5"/>
    <w:rsid w:val="00C21056"/>
    <w:rsid w:val="00C42319"/>
    <w:rsid w:val="00C72839"/>
    <w:rsid w:val="00C729D7"/>
    <w:rsid w:val="00C905A1"/>
    <w:rsid w:val="00D27758"/>
    <w:rsid w:val="00D35527"/>
    <w:rsid w:val="00D4677C"/>
    <w:rsid w:val="00D72FAF"/>
    <w:rsid w:val="00D93AE6"/>
    <w:rsid w:val="00DB1BE8"/>
    <w:rsid w:val="00DB4EE1"/>
    <w:rsid w:val="00DC056C"/>
    <w:rsid w:val="00DF6351"/>
    <w:rsid w:val="00E00CCD"/>
    <w:rsid w:val="00E1292E"/>
    <w:rsid w:val="00E2224D"/>
    <w:rsid w:val="00E4304E"/>
    <w:rsid w:val="00E61BB2"/>
    <w:rsid w:val="00E829CB"/>
    <w:rsid w:val="00E97217"/>
    <w:rsid w:val="00EB0EC1"/>
    <w:rsid w:val="00EB37D9"/>
    <w:rsid w:val="00EC5C38"/>
    <w:rsid w:val="00ED004D"/>
    <w:rsid w:val="00EE0C2E"/>
    <w:rsid w:val="00EF56B0"/>
    <w:rsid w:val="00F11A6B"/>
    <w:rsid w:val="00F138FB"/>
    <w:rsid w:val="00F34A8B"/>
    <w:rsid w:val="00F36234"/>
    <w:rsid w:val="00F4213C"/>
    <w:rsid w:val="00F53780"/>
    <w:rsid w:val="00F66952"/>
    <w:rsid w:val="00F7405F"/>
    <w:rsid w:val="00F77E25"/>
    <w:rsid w:val="00F9037C"/>
    <w:rsid w:val="00F92418"/>
    <w:rsid w:val="00F95492"/>
    <w:rsid w:val="00FA6340"/>
    <w:rsid w:val="00FD0C5C"/>
    <w:rsid w:val="00FD5B79"/>
    <w:rsid w:val="00FF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0F5514B7-BA7F-4ADD-8399-EEA47B80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outlineLvl w:val="0"/>
    </w:pPr>
    <w:rPr>
      <w:rFonts w:ascii="Arial" w:hAnsi="Arial"/>
      <w:b/>
      <w:color w:val="0000FF"/>
      <w:sz w:val="20"/>
    </w:rPr>
  </w:style>
  <w:style w:type="paragraph" w:styleId="Heading2">
    <w:name w:val="heading 2"/>
    <w:basedOn w:val="Normal"/>
    <w:next w:val="Normal"/>
    <w:qFormat/>
    <w:pPr>
      <w:keepNext/>
      <w:spacing w:line="240" w:lineRule="exact"/>
      <w:ind w:left="720"/>
      <w:jc w:val="both"/>
      <w:outlineLvl w:val="1"/>
    </w:pPr>
    <w:rPr>
      <w:b/>
      <w:bCs/>
      <w:sz w:val="22"/>
    </w:rPr>
  </w:style>
  <w:style w:type="paragraph" w:styleId="Heading3">
    <w:name w:val="heading 3"/>
    <w:basedOn w:val="Normal"/>
    <w:next w:val="Normal"/>
    <w:qFormat/>
    <w:pPr>
      <w:keepNext/>
      <w:widowControl/>
      <w:spacing w:line="240" w:lineRule="exact"/>
      <w:jc w:val="both"/>
      <w:outlineLvl w:val="2"/>
    </w:pPr>
    <w:rPr>
      <w:b/>
      <w:u w:val="single"/>
    </w:rPr>
  </w:style>
  <w:style w:type="paragraph" w:styleId="Heading4">
    <w:name w:val="heading 4"/>
    <w:basedOn w:val="Normal"/>
    <w:next w:val="Normal"/>
    <w:qFormat/>
    <w:pPr>
      <w:keepNext/>
      <w:widowControl/>
      <w:spacing w:line="240" w:lineRule="exac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pPr>
      <w:widowControl/>
      <w:tabs>
        <w:tab w:val="left" w:pos="720"/>
      </w:tabs>
      <w:spacing w:line="240" w:lineRule="exact"/>
      <w:jc w:val="both"/>
    </w:pPr>
    <w:rPr>
      <w:sz w:val="22"/>
    </w:rPr>
  </w:style>
  <w:style w:type="paragraph" w:styleId="BodyTextIndent2">
    <w:name w:val="Body Text Indent 2"/>
    <w:basedOn w:val="Normal"/>
    <w:semiHidden/>
    <w:pPr>
      <w:widowControl/>
      <w:tabs>
        <w:tab w:val="left" w:pos="720"/>
      </w:tabs>
      <w:spacing w:line="240" w:lineRule="exact"/>
      <w:ind w:hanging="1440"/>
    </w:pPr>
    <w:rPr>
      <w:sz w:val="22"/>
    </w:rPr>
  </w:style>
  <w:style w:type="paragraph" w:styleId="BodyTextIndent">
    <w:name w:val="Body Text Indent"/>
    <w:basedOn w:val="Normal"/>
    <w:semiHidden/>
    <w:pPr>
      <w:tabs>
        <w:tab w:val="num" w:pos="1440"/>
      </w:tabs>
      <w:spacing w:line="240" w:lineRule="exact"/>
      <w:ind w:left="1440" w:hanging="720"/>
      <w:jc w:val="both"/>
    </w:pPr>
    <w:rPr>
      <w:sz w:val="22"/>
    </w:rPr>
  </w:style>
  <w:style w:type="character" w:styleId="PageNumber">
    <w:name w:val="page number"/>
    <w:basedOn w:val="DefaultParagraphFont"/>
    <w:semiHidden/>
  </w:style>
  <w:style w:type="paragraph" w:styleId="BodyTextIndent3">
    <w:name w:val="Body Text Indent 3"/>
    <w:basedOn w:val="Normal"/>
    <w:semiHidden/>
    <w:pPr>
      <w:spacing w:line="240" w:lineRule="exact"/>
      <w:ind w:left="1350" w:hanging="630"/>
    </w:pPr>
    <w:rPr>
      <w:sz w:val="22"/>
    </w:rPr>
  </w:style>
  <w:style w:type="paragraph" w:styleId="BalloonText">
    <w:name w:val="Balloon Text"/>
    <w:basedOn w:val="Normal"/>
    <w:semiHidden/>
    <w:rPr>
      <w:rFonts w:ascii="Tahoma" w:hAnsi="Tahoma" w:cs="Tahoma"/>
      <w:sz w:val="16"/>
      <w:szCs w:val="16"/>
    </w:rPr>
  </w:style>
  <w:style w:type="paragraph" w:styleId="BodyText">
    <w:name w:val="Body Text"/>
    <w:basedOn w:val="Normal"/>
    <w:rsid w:val="00FD5B79"/>
    <w:pPr>
      <w:spacing w:after="120"/>
    </w:pPr>
  </w:style>
  <w:style w:type="character" w:styleId="Hyperlink">
    <w:name w:val="Hyperlink"/>
    <w:rsid w:val="00250224"/>
    <w:rPr>
      <w:color w:val="0000FF"/>
      <w:u w:val="single"/>
    </w:rPr>
  </w:style>
  <w:style w:type="character" w:customStyle="1" w:styleId="HeaderChar">
    <w:name w:val="Header Char"/>
    <w:link w:val="Header"/>
    <w:uiPriority w:val="99"/>
    <w:rsid w:val="005508F7"/>
    <w:rPr>
      <w:sz w:val="24"/>
    </w:rPr>
  </w:style>
  <w:style w:type="paragraph" w:styleId="Revision">
    <w:name w:val="Revision"/>
    <w:hidden/>
    <w:uiPriority w:val="99"/>
    <w:semiHidden/>
    <w:rsid w:val="00F92418"/>
    <w:rPr>
      <w:sz w:val="24"/>
    </w:rPr>
  </w:style>
  <w:style w:type="paragraph" w:styleId="DocumentMap">
    <w:name w:val="Document Map"/>
    <w:basedOn w:val="Normal"/>
    <w:link w:val="DocumentMapChar"/>
    <w:uiPriority w:val="99"/>
    <w:semiHidden/>
    <w:unhideWhenUsed/>
    <w:rsid w:val="00F92418"/>
    <w:rPr>
      <w:rFonts w:ascii="Tahoma" w:hAnsi="Tahoma" w:cs="Tahoma"/>
      <w:sz w:val="16"/>
      <w:szCs w:val="16"/>
    </w:rPr>
  </w:style>
  <w:style w:type="character" w:customStyle="1" w:styleId="DocumentMapChar">
    <w:name w:val="Document Map Char"/>
    <w:link w:val="DocumentMap"/>
    <w:uiPriority w:val="99"/>
    <w:semiHidden/>
    <w:rsid w:val="00F92418"/>
    <w:rPr>
      <w:rFonts w:ascii="Tahoma" w:hAnsi="Tahoma" w:cs="Tahoma"/>
      <w:sz w:val="16"/>
      <w:szCs w:val="16"/>
    </w:rPr>
  </w:style>
  <w:style w:type="character" w:customStyle="1" w:styleId="FooterChar">
    <w:name w:val="Footer Char"/>
    <w:link w:val="Footer"/>
    <w:uiPriority w:val="99"/>
    <w:rsid w:val="003F3A77"/>
    <w:rPr>
      <w:sz w:val="24"/>
    </w:rPr>
  </w:style>
  <w:style w:type="paragraph" w:styleId="ListParagraph">
    <w:name w:val="List Paragraph"/>
    <w:basedOn w:val="Normal"/>
    <w:uiPriority w:val="34"/>
    <w:qFormat/>
    <w:rsid w:val="001D7D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Pgrants@dos.myflorid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s.myflorida.com/historical/gran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January 15, 1999</vt:lpstr>
    </vt:vector>
  </TitlesOfParts>
  <Company>Department of State</Company>
  <LinksUpToDate>false</LinksUpToDate>
  <CharactersWithSpaces>11383</CharactersWithSpaces>
  <SharedDoc>false</SharedDoc>
  <HLinks>
    <vt:vector size="12" baseType="variant">
      <vt:variant>
        <vt:i4>2162800</vt:i4>
      </vt:variant>
      <vt:variant>
        <vt:i4>3</vt:i4>
      </vt:variant>
      <vt:variant>
        <vt:i4>0</vt:i4>
      </vt:variant>
      <vt:variant>
        <vt:i4>5</vt:i4>
      </vt:variant>
      <vt:variant>
        <vt:lpwstr>http://www.dos.state.fl.us/grants/redi/</vt:lpwstr>
      </vt:variant>
      <vt:variant>
        <vt:lpwstr/>
      </vt:variant>
      <vt:variant>
        <vt:i4>4522056</vt:i4>
      </vt:variant>
      <vt:variant>
        <vt:i4>0</vt:i4>
      </vt:variant>
      <vt:variant>
        <vt:i4>0</vt:i4>
      </vt:variant>
      <vt:variant>
        <vt:i4>5</vt:i4>
      </vt:variant>
      <vt:variant>
        <vt:lpwstr>http://www.flheritage.com/grants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15, 1999</dc:title>
  <dc:creator>rtaylor</dc:creator>
  <cp:lastModifiedBy>Gates, Joshua P.</cp:lastModifiedBy>
  <cp:revision>4</cp:revision>
  <cp:lastPrinted>2017-02-23T14:54:00Z</cp:lastPrinted>
  <dcterms:created xsi:type="dcterms:W3CDTF">2017-02-23T14:54:00Z</dcterms:created>
  <dcterms:modified xsi:type="dcterms:W3CDTF">2017-02-23T17:54:00Z</dcterms:modified>
</cp:coreProperties>
</file>